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D385A" w14:textId="7AA971D4" w:rsidR="00A80939" w:rsidRPr="003E064C" w:rsidRDefault="00C60337" w:rsidP="00786043">
      <w:pPr>
        <w:pStyle w:val="Title"/>
        <w:rPr>
          <w:b w:val="0"/>
        </w:rPr>
      </w:pPr>
      <w:proofErr w:type="gramStart"/>
      <w:r>
        <w:t>8.2  I</w:t>
      </w:r>
      <w:r w:rsidR="00D92887" w:rsidRPr="003E064C">
        <w:t>ncome</w:t>
      </w:r>
      <w:proofErr w:type="gramEnd"/>
      <w:r w:rsidR="00D92887" w:rsidRPr="003E064C">
        <w:t xml:space="preserve"> Tax</w:t>
      </w:r>
    </w:p>
    <w:p w14:paraId="6377A5D7" w14:textId="469712C3" w:rsidR="00D92887" w:rsidRPr="00786043" w:rsidRDefault="00D92887" w:rsidP="00786043">
      <w:pPr>
        <w:spacing w:after="0" w:line="240" w:lineRule="auto"/>
        <w:rPr>
          <w:rFonts w:cstheme="minorHAnsi"/>
          <w:sz w:val="24"/>
          <w:szCs w:val="24"/>
        </w:rPr>
      </w:pPr>
      <w:r w:rsidRPr="00786043">
        <w:rPr>
          <w:rFonts w:cstheme="minorHAnsi"/>
          <w:sz w:val="24"/>
          <w:szCs w:val="24"/>
        </w:rPr>
        <w:t>Inco</w:t>
      </w:r>
      <w:r w:rsidR="00D632FB" w:rsidRPr="00786043">
        <w:rPr>
          <w:rFonts w:cstheme="minorHAnsi"/>
          <w:sz w:val="24"/>
          <w:szCs w:val="24"/>
        </w:rPr>
        <w:t xml:space="preserve">me tax is a percentage of </w:t>
      </w:r>
      <w:r w:rsidRPr="00786043">
        <w:rPr>
          <w:rFonts w:cstheme="minorHAnsi"/>
          <w:sz w:val="24"/>
          <w:szCs w:val="24"/>
        </w:rPr>
        <w:t>income collected by the government to fund its services and programs.</w:t>
      </w:r>
      <w:r w:rsidR="008515AF" w:rsidRPr="00786043">
        <w:rPr>
          <w:rFonts w:cstheme="minorHAnsi"/>
          <w:sz w:val="24"/>
          <w:szCs w:val="24"/>
        </w:rPr>
        <w:t xml:space="preserve">  </w:t>
      </w:r>
      <w:r w:rsidR="00F548EB" w:rsidRPr="00786043">
        <w:rPr>
          <w:rFonts w:cstheme="minorHAnsi"/>
          <w:sz w:val="24"/>
          <w:szCs w:val="24"/>
        </w:rPr>
        <w:t xml:space="preserve">Income tax is collected by the federal government and by most states.  </w:t>
      </w:r>
      <w:r w:rsidR="008515AF" w:rsidRPr="00786043">
        <w:rPr>
          <w:rFonts w:cstheme="minorHAnsi"/>
          <w:sz w:val="24"/>
          <w:szCs w:val="24"/>
        </w:rPr>
        <w:t xml:space="preserve">The Internal Revenue Service (IRS) enforces </w:t>
      </w:r>
      <w:r w:rsidR="00F548EB" w:rsidRPr="00786043">
        <w:rPr>
          <w:rFonts w:cstheme="minorHAnsi"/>
          <w:sz w:val="24"/>
          <w:szCs w:val="24"/>
        </w:rPr>
        <w:t xml:space="preserve">federal </w:t>
      </w:r>
      <w:r w:rsidR="008515AF" w:rsidRPr="00786043">
        <w:rPr>
          <w:rFonts w:cstheme="minorHAnsi"/>
          <w:sz w:val="24"/>
          <w:szCs w:val="24"/>
        </w:rPr>
        <w:t>tax laws and collects taxes.</w:t>
      </w:r>
    </w:p>
    <w:p w14:paraId="37F6C020" w14:textId="67A6B831" w:rsidR="00D92887" w:rsidRPr="00786043" w:rsidRDefault="002C2BD6" w:rsidP="00786043">
      <w:pPr>
        <w:pStyle w:val="Heading1"/>
        <w:rPr>
          <w:b w:val="0"/>
        </w:rPr>
      </w:pPr>
      <w:r w:rsidRPr="00786043">
        <w:t>Objective</w:t>
      </w:r>
      <w:r w:rsidR="00D92887" w:rsidRPr="00786043">
        <w:t xml:space="preserve"> 1: </w:t>
      </w:r>
      <w:r w:rsidR="00C71F12" w:rsidRPr="00786043">
        <w:t xml:space="preserve">  </w:t>
      </w:r>
      <w:r w:rsidR="00D92887" w:rsidRPr="00786043">
        <w:t xml:space="preserve">Determine </w:t>
      </w:r>
      <w:r w:rsidR="00EC6349" w:rsidRPr="00786043">
        <w:t>Gross Income, Adjusted Gross Income, and Taxable Income</w:t>
      </w:r>
    </w:p>
    <w:p w14:paraId="5D2E6297" w14:textId="77777777" w:rsidR="00BC3163" w:rsidRDefault="00BC3163" w:rsidP="00786043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03554C2" w14:textId="3D4362B4" w:rsidR="00EE458F" w:rsidRPr="00786043" w:rsidRDefault="008515AF" w:rsidP="00786043">
      <w:pPr>
        <w:spacing w:after="0" w:line="240" w:lineRule="auto"/>
        <w:rPr>
          <w:rFonts w:cstheme="minorHAnsi"/>
          <w:bCs/>
          <w:sz w:val="24"/>
          <w:szCs w:val="24"/>
        </w:rPr>
      </w:pPr>
      <w:r w:rsidRPr="00786043">
        <w:rPr>
          <w:rFonts w:cstheme="minorHAnsi"/>
          <w:bCs/>
          <w:sz w:val="24"/>
          <w:szCs w:val="24"/>
        </w:rPr>
        <w:t xml:space="preserve">The first step </w:t>
      </w:r>
      <w:r w:rsidR="00786043">
        <w:rPr>
          <w:rFonts w:cstheme="minorHAnsi"/>
          <w:bCs/>
          <w:sz w:val="24"/>
          <w:szCs w:val="24"/>
        </w:rPr>
        <w:t>in</w:t>
      </w:r>
      <w:r w:rsidRPr="00786043">
        <w:rPr>
          <w:rFonts w:cstheme="minorHAnsi"/>
          <w:bCs/>
          <w:sz w:val="24"/>
          <w:szCs w:val="24"/>
        </w:rPr>
        <w:t xml:space="preserve"> determining tax liability (taxes owed) is determining income. </w:t>
      </w:r>
    </w:p>
    <w:p w14:paraId="4629C14E" w14:textId="2E4ABE53" w:rsidR="00A148F1" w:rsidRDefault="00A148F1" w:rsidP="0078604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A423691" w14:textId="77777777" w:rsidR="00786043" w:rsidRPr="00786043" w:rsidRDefault="00786043" w:rsidP="00786043">
      <w:pPr>
        <w:spacing w:after="0" w:line="240" w:lineRule="auto"/>
        <w:rPr>
          <w:rFonts w:cstheme="minorHAnsi"/>
          <w:b/>
          <w:sz w:val="24"/>
          <w:szCs w:val="24"/>
        </w:rPr>
      </w:pPr>
      <w:r w:rsidRPr="00786043">
        <w:rPr>
          <w:rFonts w:cstheme="minorHAnsi"/>
          <w:b/>
          <w:sz w:val="24"/>
          <w:szCs w:val="24"/>
        </w:rPr>
        <w:t>VOCABULARY FOR DETERMINING TAXABLE INCOME</w:t>
      </w:r>
    </w:p>
    <w:p w14:paraId="593455BB" w14:textId="77777777" w:rsidR="00786043" w:rsidRPr="00786043" w:rsidRDefault="00786043" w:rsidP="00786043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786043">
        <w:rPr>
          <w:rFonts w:cstheme="minorHAnsi"/>
          <w:b/>
          <w:sz w:val="24"/>
          <w:szCs w:val="24"/>
        </w:rPr>
        <w:t>Gross Income</w:t>
      </w:r>
      <w:r w:rsidRPr="00786043">
        <w:rPr>
          <w:rFonts w:cstheme="minorHAnsi"/>
          <w:sz w:val="24"/>
          <w:szCs w:val="24"/>
        </w:rPr>
        <w:t xml:space="preserve"> – Total income from all sources</w:t>
      </w:r>
    </w:p>
    <w:p w14:paraId="47C9C6EB" w14:textId="77777777" w:rsidR="00786043" w:rsidRPr="00786043" w:rsidRDefault="00786043" w:rsidP="0078604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786043">
        <w:rPr>
          <w:rFonts w:cstheme="minorHAnsi"/>
          <w:b/>
          <w:sz w:val="24"/>
          <w:szCs w:val="24"/>
        </w:rPr>
        <w:t>Adjustments</w:t>
      </w:r>
      <w:r w:rsidRPr="00786043">
        <w:rPr>
          <w:rFonts w:cstheme="minorHAnsi"/>
          <w:sz w:val="24"/>
          <w:szCs w:val="24"/>
        </w:rPr>
        <w:t xml:space="preserve"> – Income that is tax-deferred or otherwise not taxable</w:t>
      </w:r>
    </w:p>
    <w:p w14:paraId="22E0F300" w14:textId="77777777" w:rsidR="00786043" w:rsidRPr="00786043" w:rsidRDefault="00786043" w:rsidP="00786043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786043">
        <w:rPr>
          <w:rFonts w:cstheme="minorHAnsi"/>
          <w:b/>
          <w:sz w:val="24"/>
          <w:szCs w:val="24"/>
        </w:rPr>
        <w:t>Adjusted gross income</w:t>
      </w:r>
      <w:r w:rsidRPr="00786043">
        <w:rPr>
          <w:rFonts w:cstheme="minorHAnsi"/>
          <w:sz w:val="24"/>
          <w:szCs w:val="24"/>
        </w:rPr>
        <w:t xml:space="preserve"> – Gross income minus adjustments</w:t>
      </w:r>
    </w:p>
    <w:p w14:paraId="2AD7015F" w14:textId="77777777" w:rsidR="00786043" w:rsidRPr="00786043" w:rsidRDefault="00786043" w:rsidP="0078604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786043">
        <w:rPr>
          <w:rFonts w:cstheme="minorHAnsi"/>
          <w:b/>
          <w:sz w:val="24"/>
          <w:szCs w:val="24"/>
        </w:rPr>
        <w:t>Exemption</w:t>
      </w:r>
      <w:r w:rsidRPr="00786043">
        <w:rPr>
          <w:rFonts w:cstheme="minorHAnsi"/>
          <w:sz w:val="24"/>
          <w:szCs w:val="24"/>
        </w:rPr>
        <w:t xml:space="preserve"> – A fixed amount deducted from income for each person supported by the income</w:t>
      </w:r>
    </w:p>
    <w:p w14:paraId="155C6019" w14:textId="77777777" w:rsidR="00786043" w:rsidRPr="00786043" w:rsidRDefault="00786043" w:rsidP="0078604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786043">
        <w:rPr>
          <w:rFonts w:cstheme="minorHAnsi"/>
          <w:b/>
          <w:sz w:val="24"/>
          <w:szCs w:val="24"/>
        </w:rPr>
        <w:t>Deduction</w:t>
      </w:r>
      <w:r w:rsidRPr="00786043">
        <w:rPr>
          <w:rFonts w:cstheme="minorHAnsi"/>
          <w:sz w:val="24"/>
          <w:szCs w:val="24"/>
        </w:rPr>
        <w:t xml:space="preserve"> – Expense that, by tax law, may be deducted from income</w:t>
      </w:r>
    </w:p>
    <w:p w14:paraId="13DF569B" w14:textId="77777777" w:rsidR="00786043" w:rsidRPr="00786043" w:rsidRDefault="00786043" w:rsidP="0078604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786043">
        <w:rPr>
          <w:rFonts w:cstheme="minorHAnsi"/>
          <w:sz w:val="24"/>
          <w:szCs w:val="24"/>
        </w:rPr>
        <w:t>Taxpayers select either itemized deductions or a standard deduction, whichever is greater.</w:t>
      </w:r>
    </w:p>
    <w:p w14:paraId="7A0A42A2" w14:textId="77777777" w:rsidR="00786043" w:rsidRPr="00786043" w:rsidRDefault="00786043" w:rsidP="00786043">
      <w:pPr>
        <w:spacing w:after="0" w:line="240" w:lineRule="auto"/>
        <w:ind w:left="1080"/>
        <w:rPr>
          <w:rFonts w:cstheme="minorHAnsi"/>
          <w:sz w:val="24"/>
          <w:szCs w:val="24"/>
        </w:rPr>
      </w:pPr>
      <w:r w:rsidRPr="00786043">
        <w:rPr>
          <w:rFonts w:cstheme="minorHAnsi"/>
          <w:b/>
          <w:sz w:val="24"/>
          <w:szCs w:val="24"/>
        </w:rPr>
        <w:t>Itemized Deductions</w:t>
      </w:r>
      <w:r w:rsidRPr="00786043">
        <w:rPr>
          <w:rFonts w:cstheme="minorHAnsi"/>
          <w:sz w:val="24"/>
          <w:szCs w:val="24"/>
        </w:rPr>
        <w:t xml:space="preserve"> – The taxpayer keeps detailed records of all allowable expenses.</w:t>
      </w:r>
    </w:p>
    <w:p w14:paraId="76AB483E" w14:textId="77777777" w:rsidR="00786043" w:rsidRPr="00786043" w:rsidRDefault="00786043" w:rsidP="00786043">
      <w:pPr>
        <w:spacing w:after="0" w:line="240" w:lineRule="auto"/>
        <w:ind w:left="1080"/>
        <w:rPr>
          <w:rFonts w:cstheme="minorHAnsi"/>
          <w:sz w:val="24"/>
          <w:szCs w:val="24"/>
        </w:rPr>
      </w:pPr>
      <w:r w:rsidRPr="00786043">
        <w:rPr>
          <w:rFonts w:cstheme="minorHAnsi"/>
          <w:b/>
          <w:sz w:val="24"/>
          <w:szCs w:val="24"/>
        </w:rPr>
        <w:t>Standard deduction</w:t>
      </w:r>
      <w:r w:rsidRPr="00786043">
        <w:rPr>
          <w:rFonts w:cstheme="minorHAnsi"/>
          <w:sz w:val="24"/>
          <w:szCs w:val="24"/>
        </w:rPr>
        <w:t xml:space="preserve"> -  A simpler method using a fixed value for those who choose not to itemize. </w:t>
      </w:r>
    </w:p>
    <w:p w14:paraId="04743C84" w14:textId="23FF7B6B" w:rsidR="00786043" w:rsidRPr="00786043" w:rsidRDefault="00786043" w:rsidP="00786043">
      <w:pPr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786043">
        <w:rPr>
          <w:rFonts w:cstheme="minorHAnsi"/>
          <w:b/>
          <w:sz w:val="24"/>
          <w:szCs w:val="24"/>
        </w:rPr>
        <w:t>Taxable income</w:t>
      </w:r>
      <w:r w:rsidRPr="00786043">
        <w:rPr>
          <w:rFonts w:cstheme="minorHAnsi"/>
          <w:bCs/>
          <w:sz w:val="24"/>
          <w:szCs w:val="24"/>
        </w:rPr>
        <w:t xml:space="preserve"> – Adjusted gross income minus the sum of exemptions and deductions</w:t>
      </w:r>
    </w:p>
    <w:p w14:paraId="6C80C624" w14:textId="77777777" w:rsidR="00A148F1" w:rsidRPr="00786043" w:rsidRDefault="00A148F1" w:rsidP="0078604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6043">
        <w:rPr>
          <w:rFonts w:cstheme="minorHAnsi"/>
          <w:b/>
          <w:bCs/>
          <w:sz w:val="24"/>
          <w:szCs w:val="24"/>
        </w:rPr>
        <w:br w:type="page"/>
      </w:r>
    </w:p>
    <w:p w14:paraId="4F5C0004" w14:textId="1B474759" w:rsidR="008A622A" w:rsidRPr="00786043" w:rsidRDefault="002C2BD6" w:rsidP="00786043">
      <w:pPr>
        <w:pStyle w:val="Heading1"/>
      </w:pPr>
      <w:r w:rsidRPr="00786043">
        <w:lastRenderedPageBreak/>
        <w:t>Objective</w:t>
      </w:r>
      <w:r w:rsidR="008A622A" w:rsidRPr="00786043">
        <w:t xml:space="preserve"> 2:</w:t>
      </w:r>
      <w:r w:rsidR="00C71F12" w:rsidRPr="00786043">
        <w:t xml:space="preserve"> </w:t>
      </w:r>
      <w:r w:rsidR="008A622A" w:rsidRPr="00786043">
        <w:t xml:space="preserve"> Calculate federal income tax</w:t>
      </w:r>
    </w:p>
    <w:p w14:paraId="40E322B9" w14:textId="77777777" w:rsidR="00BC3163" w:rsidRDefault="00BC3163" w:rsidP="00786043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C11ADBD" w14:textId="57891478" w:rsidR="00006EBD" w:rsidRDefault="0001259A" w:rsidP="00786043">
      <w:pPr>
        <w:spacing w:after="0" w:line="240" w:lineRule="auto"/>
        <w:rPr>
          <w:rFonts w:cstheme="minorHAnsi"/>
          <w:bCs/>
          <w:sz w:val="24"/>
          <w:szCs w:val="24"/>
        </w:rPr>
      </w:pPr>
      <w:r w:rsidRPr="00786043">
        <w:rPr>
          <w:rFonts w:cstheme="minorHAnsi"/>
          <w:bCs/>
          <w:sz w:val="24"/>
          <w:szCs w:val="24"/>
        </w:rPr>
        <w:t>Federal inc</w:t>
      </w:r>
      <w:r w:rsidR="00D632FB" w:rsidRPr="00786043">
        <w:rPr>
          <w:rFonts w:cstheme="minorHAnsi"/>
          <w:bCs/>
          <w:sz w:val="24"/>
          <w:szCs w:val="24"/>
        </w:rPr>
        <w:t xml:space="preserve">ome tax is calculated from </w:t>
      </w:r>
      <w:r w:rsidRPr="00786043">
        <w:rPr>
          <w:rFonts w:cstheme="minorHAnsi"/>
          <w:bCs/>
          <w:sz w:val="24"/>
          <w:szCs w:val="24"/>
        </w:rPr>
        <w:t xml:space="preserve">taxable income using a table like </w:t>
      </w:r>
      <w:r w:rsidR="008B5B6B">
        <w:rPr>
          <w:rFonts w:cstheme="minorHAnsi"/>
          <w:bCs/>
          <w:sz w:val="24"/>
          <w:szCs w:val="24"/>
        </w:rPr>
        <w:t>the one</w:t>
      </w:r>
      <w:r w:rsidRPr="00786043">
        <w:rPr>
          <w:rFonts w:cstheme="minorHAnsi"/>
          <w:bCs/>
          <w:sz w:val="24"/>
          <w:szCs w:val="24"/>
        </w:rPr>
        <w:t xml:space="preserve"> below.  Each column represents a different filing status.  </w:t>
      </w:r>
      <w:r w:rsidR="00F548EB" w:rsidRPr="00786043">
        <w:rPr>
          <w:rFonts w:cstheme="minorHAnsi"/>
          <w:bCs/>
          <w:sz w:val="24"/>
          <w:szCs w:val="24"/>
        </w:rPr>
        <w:t xml:space="preserve">The tax rates in the left column are assigned to various income ranges called margins.  </w:t>
      </w:r>
      <w:r w:rsidRPr="00786043">
        <w:rPr>
          <w:rFonts w:cstheme="minorHAnsi"/>
          <w:bCs/>
          <w:sz w:val="24"/>
          <w:szCs w:val="24"/>
        </w:rPr>
        <w:t xml:space="preserve">Each row represents a </w:t>
      </w:r>
      <w:r w:rsidRPr="00786043">
        <w:rPr>
          <w:rFonts w:cstheme="minorHAnsi"/>
          <w:b/>
          <w:sz w:val="24"/>
          <w:szCs w:val="24"/>
        </w:rPr>
        <w:t xml:space="preserve">marginal tax </w:t>
      </w:r>
      <w:r w:rsidR="00F548EB" w:rsidRPr="00786043">
        <w:rPr>
          <w:rFonts w:cstheme="minorHAnsi"/>
          <w:b/>
          <w:sz w:val="24"/>
          <w:szCs w:val="24"/>
        </w:rPr>
        <w:t>rate</w:t>
      </w:r>
      <w:r w:rsidR="00F548EB" w:rsidRPr="00786043">
        <w:rPr>
          <w:rFonts w:cstheme="minorHAnsi"/>
          <w:bCs/>
          <w:sz w:val="24"/>
          <w:szCs w:val="24"/>
        </w:rPr>
        <w:t xml:space="preserve">, the rate on a portion of </w:t>
      </w:r>
      <w:r w:rsidR="00D632FB" w:rsidRPr="00786043">
        <w:rPr>
          <w:rFonts w:cstheme="minorHAnsi"/>
          <w:bCs/>
          <w:sz w:val="24"/>
          <w:szCs w:val="24"/>
        </w:rPr>
        <w:t xml:space="preserve">income. </w:t>
      </w:r>
      <w:r w:rsidR="00F548EB" w:rsidRPr="00786043">
        <w:rPr>
          <w:rFonts w:cstheme="minorHAnsi"/>
          <w:bCs/>
          <w:sz w:val="24"/>
          <w:szCs w:val="24"/>
        </w:rPr>
        <w:t xml:space="preserve"> </w:t>
      </w:r>
      <w:r w:rsidR="00D632FB" w:rsidRPr="00786043">
        <w:rPr>
          <w:rFonts w:cstheme="minorHAnsi"/>
          <w:bCs/>
          <w:sz w:val="24"/>
          <w:szCs w:val="24"/>
        </w:rPr>
        <w:t xml:space="preserve">The more money a taxpayer </w:t>
      </w:r>
      <w:r w:rsidRPr="00786043">
        <w:rPr>
          <w:rFonts w:cstheme="minorHAnsi"/>
          <w:bCs/>
          <w:sz w:val="24"/>
          <w:szCs w:val="24"/>
        </w:rPr>
        <w:t>make</w:t>
      </w:r>
      <w:r w:rsidR="00D632FB" w:rsidRPr="00786043">
        <w:rPr>
          <w:rFonts w:cstheme="minorHAnsi"/>
          <w:bCs/>
          <w:sz w:val="24"/>
          <w:szCs w:val="24"/>
        </w:rPr>
        <w:t>s</w:t>
      </w:r>
      <w:r w:rsidRPr="00786043">
        <w:rPr>
          <w:rFonts w:cstheme="minorHAnsi"/>
          <w:bCs/>
          <w:sz w:val="24"/>
          <w:szCs w:val="24"/>
        </w:rPr>
        <w:t xml:space="preserve">, the higher the </w:t>
      </w:r>
      <w:r w:rsidR="00D632FB" w:rsidRPr="00786043">
        <w:rPr>
          <w:rFonts w:cstheme="minorHAnsi"/>
          <w:bCs/>
          <w:sz w:val="24"/>
          <w:szCs w:val="24"/>
        </w:rPr>
        <w:t>tax rate (percentage) paid</w:t>
      </w:r>
      <w:r w:rsidRPr="00786043">
        <w:rPr>
          <w:rFonts w:cstheme="minorHAnsi"/>
          <w:bCs/>
          <w:sz w:val="24"/>
          <w:szCs w:val="24"/>
        </w:rPr>
        <w:t xml:space="preserve"> on each additional dollar.</w:t>
      </w:r>
      <w:r w:rsidR="00F548EB" w:rsidRPr="00786043">
        <w:rPr>
          <w:rFonts w:cstheme="minorHAnsi"/>
          <w:bCs/>
          <w:sz w:val="24"/>
          <w:szCs w:val="24"/>
        </w:rPr>
        <w:t xml:space="preserve">  This highest tax rate is the taxpayer’s </w:t>
      </w:r>
      <w:r w:rsidR="00F548EB" w:rsidRPr="00786043">
        <w:rPr>
          <w:rFonts w:cstheme="minorHAnsi"/>
          <w:b/>
          <w:sz w:val="24"/>
          <w:szCs w:val="24"/>
        </w:rPr>
        <w:t>tax bracket.</w:t>
      </w:r>
      <w:r w:rsidR="002C2BD6" w:rsidRPr="00786043">
        <w:rPr>
          <w:rFonts w:cstheme="minorHAnsi"/>
          <w:b/>
          <w:sz w:val="24"/>
          <w:szCs w:val="24"/>
        </w:rPr>
        <w:t xml:space="preserve">  </w:t>
      </w:r>
      <w:r w:rsidR="00D632FB" w:rsidRPr="00786043">
        <w:rPr>
          <w:rFonts w:cstheme="minorHAnsi"/>
          <w:bCs/>
          <w:sz w:val="24"/>
          <w:szCs w:val="24"/>
        </w:rPr>
        <w:t xml:space="preserve">Taxpayers </w:t>
      </w:r>
      <w:r w:rsidRPr="00786043">
        <w:rPr>
          <w:rFonts w:cstheme="minorHAnsi"/>
          <w:bCs/>
          <w:sz w:val="24"/>
          <w:szCs w:val="24"/>
        </w:rPr>
        <w:t xml:space="preserve">may also be able to take advantage </w:t>
      </w:r>
      <w:r w:rsidR="00D632FB" w:rsidRPr="00786043">
        <w:rPr>
          <w:rFonts w:cstheme="minorHAnsi"/>
          <w:bCs/>
          <w:sz w:val="24"/>
          <w:szCs w:val="24"/>
        </w:rPr>
        <w:t xml:space="preserve">of </w:t>
      </w:r>
      <w:r w:rsidR="00D632FB" w:rsidRPr="00786043">
        <w:rPr>
          <w:rFonts w:cstheme="minorHAnsi"/>
          <w:b/>
          <w:sz w:val="24"/>
          <w:szCs w:val="24"/>
        </w:rPr>
        <w:t>tax credits</w:t>
      </w:r>
      <w:r w:rsidR="00D632FB" w:rsidRPr="00786043">
        <w:rPr>
          <w:rFonts w:cstheme="minorHAnsi"/>
          <w:bCs/>
          <w:sz w:val="24"/>
          <w:szCs w:val="24"/>
        </w:rPr>
        <w:t xml:space="preserve"> which are deducted from the final tax </w:t>
      </w:r>
      <w:r w:rsidR="00786043" w:rsidRPr="00786043">
        <w:rPr>
          <w:rFonts w:cstheme="minorHAnsi"/>
          <w:bCs/>
          <w:sz w:val="24"/>
          <w:szCs w:val="24"/>
        </w:rPr>
        <w:t>calculation.</w:t>
      </w:r>
    </w:p>
    <w:p w14:paraId="51AF7171" w14:textId="7124D257" w:rsidR="00786043" w:rsidRDefault="00786043" w:rsidP="00786043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CA64A71" w14:textId="33B24183" w:rsidR="008B5B6B" w:rsidRDefault="008B5B6B" w:rsidP="00786043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DESCRIPTIONS OF FILING STATUSES</w:t>
      </w:r>
    </w:p>
    <w:p w14:paraId="338545DD" w14:textId="59F12BD4" w:rsidR="008B5B6B" w:rsidRDefault="008B5B6B" w:rsidP="008B5B6B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8B5B6B">
        <w:rPr>
          <w:rFonts w:cstheme="minorHAnsi"/>
          <w:b/>
          <w:sz w:val="24"/>
          <w:szCs w:val="24"/>
        </w:rPr>
        <w:t>Single</w:t>
      </w:r>
      <w:r>
        <w:rPr>
          <w:rFonts w:cstheme="minorHAnsi"/>
          <w:bCs/>
          <w:sz w:val="24"/>
          <w:szCs w:val="24"/>
        </w:rPr>
        <w:t xml:space="preserve"> – unmarried, divorced, or legally separated</w:t>
      </w:r>
    </w:p>
    <w:p w14:paraId="142B52FD" w14:textId="633A3AF9" w:rsidR="008B5B6B" w:rsidRDefault="008B5B6B" w:rsidP="008B5B6B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8B5B6B">
        <w:rPr>
          <w:rFonts w:cstheme="minorHAnsi"/>
          <w:b/>
          <w:sz w:val="24"/>
          <w:szCs w:val="24"/>
        </w:rPr>
        <w:t>Married filing separately</w:t>
      </w:r>
      <w:r>
        <w:rPr>
          <w:rFonts w:cstheme="minorHAnsi"/>
          <w:bCs/>
          <w:sz w:val="24"/>
          <w:szCs w:val="24"/>
        </w:rPr>
        <w:t xml:space="preserve"> – married and each partner files a separate tax return</w:t>
      </w:r>
    </w:p>
    <w:p w14:paraId="4BF540B7" w14:textId="1F928757" w:rsidR="008B5B6B" w:rsidRDefault="008B5B6B" w:rsidP="008B5B6B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8B5B6B">
        <w:rPr>
          <w:rFonts w:cstheme="minorHAnsi"/>
          <w:b/>
          <w:sz w:val="24"/>
          <w:szCs w:val="24"/>
        </w:rPr>
        <w:t>Married filing jointly</w:t>
      </w:r>
      <w:r>
        <w:rPr>
          <w:rFonts w:cstheme="minorHAnsi"/>
          <w:bCs/>
          <w:sz w:val="24"/>
          <w:szCs w:val="24"/>
        </w:rPr>
        <w:t xml:space="preserve"> – married and both partners file a single tax return</w:t>
      </w:r>
    </w:p>
    <w:p w14:paraId="535EDE2F" w14:textId="38E63384" w:rsidR="008B5B6B" w:rsidRDefault="008B5B6B" w:rsidP="008B5B6B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8B5B6B">
        <w:rPr>
          <w:rFonts w:cstheme="minorHAnsi"/>
          <w:b/>
          <w:sz w:val="24"/>
          <w:szCs w:val="24"/>
        </w:rPr>
        <w:t>Head of household</w:t>
      </w:r>
      <w:r>
        <w:rPr>
          <w:rFonts w:cstheme="minorHAnsi"/>
          <w:bCs/>
          <w:sz w:val="24"/>
          <w:szCs w:val="24"/>
        </w:rPr>
        <w:t xml:space="preserve"> – unmarried and paying more than half the cost of supporting a child or parent</w:t>
      </w:r>
    </w:p>
    <w:p w14:paraId="72532066" w14:textId="3D0045C7" w:rsidR="00FC3A66" w:rsidRDefault="00FC3A66" w:rsidP="0068140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E81ADD9" w14:textId="337E81F8" w:rsidR="006A5AFC" w:rsidRDefault="00684372" w:rsidP="00681407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</w:t>
      </w:r>
      <w:r w:rsidR="006A5AFC">
        <w:rPr>
          <w:rFonts w:cstheme="minorHAnsi"/>
          <w:bCs/>
          <w:sz w:val="24"/>
          <w:szCs w:val="24"/>
        </w:rPr>
        <w:t>able</w:t>
      </w:r>
      <w:r>
        <w:rPr>
          <w:rFonts w:cstheme="minorHAnsi"/>
          <w:bCs/>
          <w:sz w:val="24"/>
          <w:szCs w:val="24"/>
        </w:rPr>
        <w:t xml:space="preserve"> 8.1</w:t>
      </w:r>
      <w:r w:rsidR="006A5AFC">
        <w:rPr>
          <w:rFonts w:cstheme="minorHAnsi"/>
          <w:bCs/>
          <w:sz w:val="24"/>
          <w:szCs w:val="24"/>
        </w:rPr>
        <w:t xml:space="preserve"> below gives</w:t>
      </w:r>
      <w:r w:rsidR="000D0A41">
        <w:rPr>
          <w:rFonts w:cstheme="minorHAnsi"/>
          <w:bCs/>
          <w:sz w:val="24"/>
          <w:szCs w:val="24"/>
        </w:rPr>
        <w:t xml:space="preserve"> </w:t>
      </w:r>
      <w:r w:rsidR="000D0A41" w:rsidRPr="000D0A41">
        <w:rPr>
          <w:rFonts w:cstheme="minorHAnsi"/>
          <w:bCs/>
          <w:sz w:val="24"/>
          <w:szCs w:val="24"/>
        </w:rPr>
        <w:t xml:space="preserve">2012 </w:t>
      </w:r>
      <w:r w:rsidR="000D0A41">
        <w:rPr>
          <w:rFonts w:cstheme="minorHAnsi"/>
          <w:bCs/>
          <w:sz w:val="24"/>
          <w:szCs w:val="24"/>
        </w:rPr>
        <w:t>m</w:t>
      </w:r>
      <w:r w:rsidR="000D0A41" w:rsidRPr="000D0A41">
        <w:rPr>
          <w:rFonts w:cstheme="minorHAnsi"/>
          <w:bCs/>
          <w:sz w:val="24"/>
          <w:szCs w:val="24"/>
        </w:rPr>
        <w:t xml:space="preserve">arginal </w:t>
      </w:r>
      <w:r w:rsidR="000D0A41">
        <w:rPr>
          <w:rFonts w:cstheme="minorHAnsi"/>
          <w:bCs/>
          <w:sz w:val="24"/>
          <w:szCs w:val="24"/>
        </w:rPr>
        <w:t>t</w:t>
      </w:r>
      <w:r w:rsidR="000D0A41" w:rsidRPr="000D0A41">
        <w:rPr>
          <w:rFonts w:cstheme="minorHAnsi"/>
          <w:bCs/>
          <w:sz w:val="24"/>
          <w:szCs w:val="24"/>
        </w:rPr>
        <w:t xml:space="preserve">ax </w:t>
      </w:r>
      <w:r w:rsidR="000D0A41">
        <w:rPr>
          <w:rFonts w:cstheme="minorHAnsi"/>
          <w:bCs/>
          <w:sz w:val="24"/>
          <w:szCs w:val="24"/>
        </w:rPr>
        <w:t>r</w:t>
      </w:r>
      <w:r w:rsidR="000D0A41" w:rsidRPr="000D0A41">
        <w:rPr>
          <w:rFonts w:cstheme="minorHAnsi"/>
          <w:bCs/>
          <w:sz w:val="24"/>
          <w:szCs w:val="24"/>
        </w:rPr>
        <w:t xml:space="preserve">ates, </w:t>
      </w:r>
      <w:r w:rsidR="000D0A41">
        <w:rPr>
          <w:rFonts w:cstheme="minorHAnsi"/>
          <w:bCs/>
          <w:sz w:val="24"/>
          <w:szCs w:val="24"/>
        </w:rPr>
        <w:t>s</w:t>
      </w:r>
      <w:r w:rsidR="000D0A41" w:rsidRPr="000D0A41">
        <w:rPr>
          <w:rFonts w:cstheme="minorHAnsi"/>
          <w:bCs/>
          <w:sz w:val="24"/>
          <w:szCs w:val="24"/>
        </w:rPr>
        <w:t>tandard deductions, and ex</w:t>
      </w:r>
      <w:r w:rsidR="000D0A41">
        <w:rPr>
          <w:rFonts w:cstheme="minorHAnsi"/>
          <w:bCs/>
          <w:sz w:val="24"/>
          <w:szCs w:val="24"/>
        </w:rPr>
        <w:t>e</w:t>
      </w:r>
      <w:r w:rsidR="000D0A41" w:rsidRPr="000D0A41">
        <w:rPr>
          <w:rFonts w:cstheme="minorHAnsi"/>
          <w:bCs/>
          <w:sz w:val="24"/>
          <w:szCs w:val="24"/>
        </w:rPr>
        <w:t>mptions by filing status.</w:t>
      </w:r>
    </w:p>
    <w:p w14:paraId="23A2A9BC" w14:textId="77777777" w:rsidR="000D0A41" w:rsidRDefault="000D0A41" w:rsidP="00681407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10350" w:type="dxa"/>
        <w:tblInd w:w="-4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2012 Marginal Tax Rates, Standard deductions, and exmptions by filing status."/>
      </w:tblPr>
      <w:tblGrid>
        <w:gridCol w:w="1350"/>
        <w:gridCol w:w="2250"/>
        <w:gridCol w:w="2250"/>
        <w:gridCol w:w="2250"/>
        <w:gridCol w:w="2250"/>
      </w:tblGrid>
      <w:tr w:rsidR="00680F65" w14:paraId="26B83A8C" w14:textId="77777777" w:rsidTr="003F155B">
        <w:trPr>
          <w:cantSplit/>
          <w:tblHeader/>
        </w:trPr>
        <w:tc>
          <w:tcPr>
            <w:tcW w:w="1350" w:type="dxa"/>
            <w:vAlign w:val="center"/>
          </w:tcPr>
          <w:p w14:paraId="0C7612CE" w14:textId="77777777" w:rsidR="00FC3A66" w:rsidRDefault="00FC3A66" w:rsidP="00680F65">
            <w:pPr>
              <w:jc w:val="center"/>
            </w:pPr>
            <w:r w:rsidRPr="00CC765C">
              <w:rPr>
                <w:b/>
                <w:bCs/>
                <w:sz w:val="24"/>
                <w:szCs w:val="24"/>
              </w:rPr>
              <w:t>Tax Rate</w:t>
            </w:r>
          </w:p>
        </w:tc>
        <w:tc>
          <w:tcPr>
            <w:tcW w:w="2250" w:type="dxa"/>
            <w:vAlign w:val="center"/>
          </w:tcPr>
          <w:p w14:paraId="28BC1D70" w14:textId="77777777" w:rsidR="00FC3A66" w:rsidRDefault="00FC3A66" w:rsidP="00680F65">
            <w:pPr>
              <w:jc w:val="center"/>
            </w:pPr>
            <w:r w:rsidRPr="00CC765C">
              <w:rPr>
                <w:b/>
                <w:bCs/>
                <w:sz w:val="24"/>
                <w:szCs w:val="24"/>
              </w:rPr>
              <w:t>Single</w:t>
            </w:r>
          </w:p>
        </w:tc>
        <w:tc>
          <w:tcPr>
            <w:tcW w:w="2250" w:type="dxa"/>
            <w:vAlign w:val="center"/>
          </w:tcPr>
          <w:p w14:paraId="53C218CB" w14:textId="77777777" w:rsidR="00FC3A66" w:rsidRDefault="00FC3A66" w:rsidP="00680F65">
            <w:pPr>
              <w:jc w:val="center"/>
            </w:pPr>
            <w:r w:rsidRPr="00CC765C">
              <w:rPr>
                <w:b/>
                <w:bCs/>
                <w:sz w:val="24"/>
                <w:szCs w:val="24"/>
              </w:rPr>
              <w:t>Married Filing Separately</w:t>
            </w:r>
          </w:p>
        </w:tc>
        <w:tc>
          <w:tcPr>
            <w:tcW w:w="2250" w:type="dxa"/>
            <w:vAlign w:val="center"/>
          </w:tcPr>
          <w:p w14:paraId="583E0C0C" w14:textId="77777777" w:rsidR="00FC3A66" w:rsidRDefault="00FC3A66" w:rsidP="00680F65">
            <w:pPr>
              <w:jc w:val="center"/>
            </w:pPr>
            <w:r w:rsidRPr="00CC765C">
              <w:rPr>
                <w:b/>
                <w:bCs/>
                <w:sz w:val="24"/>
                <w:szCs w:val="24"/>
              </w:rPr>
              <w:t>Married Filing Jointly</w:t>
            </w:r>
          </w:p>
        </w:tc>
        <w:tc>
          <w:tcPr>
            <w:tcW w:w="2250" w:type="dxa"/>
            <w:vAlign w:val="center"/>
          </w:tcPr>
          <w:p w14:paraId="5F60FC34" w14:textId="77777777" w:rsidR="00FC3A66" w:rsidRDefault="00FC3A66" w:rsidP="00680F65">
            <w:pPr>
              <w:jc w:val="center"/>
            </w:pPr>
            <w:r w:rsidRPr="00CC765C">
              <w:rPr>
                <w:b/>
                <w:bCs/>
                <w:sz w:val="24"/>
                <w:szCs w:val="24"/>
              </w:rPr>
              <w:t>Head of Household</w:t>
            </w:r>
          </w:p>
        </w:tc>
      </w:tr>
      <w:tr w:rsidR="00680F65" w14:paraId="6C2D0EBD" w14:textId="77777777" w:rsidTr="00680F65">
        <w:tc>
          <w:tcPr>
            <w:tcW w:w="1350" w:type="dxa"/>
          </w:tcPr>
          <w:p w14:paraId="04AAD6AB" w14:textId="77777777" w:rsidR="00680F65" w:rsidRDefault="00680F65" w:rsidP="00680F65">
            <w:r>
              <w:t>10%</w:t>
            </w:r>
          </w:p>
        </w:tc>
        <w:tc>
          <w:tcPr>
            <w:tcW w:w="2250" w:type="dxa"/>
          </w:tcPr>
          <w:p w14:paraId="28FA0E60" w14:textId="77777777" w:rsidR="00680F65" w:rsidRDefault="00680F65" w:rsidP="00680F65">
            <w:r>
              <w:t>up to $8700</w:t>
            </w:r>
          </w:p>
        </w:tc>
        <w:tc>
          <w:tcPr>
            <w:tcW w:w="2250" w:type="dxa"/>
          </w:tcPr>
          <w:p w14:paraId="1C0651D1" w14:textId="77777777" w:rsidR="00680F65" w:rsidRDefault="00680F65" w:rsidP="00680F65">
            <w:r>
              <w:t>up to $8700</w:t>
            </w:r>
          </w:p>
        </w:tc>
        <w:tc>
          <w:tcPr>
            <w:tcW w:w="2250" w:type="dxa"/>
          </w:tcPr>
          <w:p w14:paraId="397D89B4" w14:textId="2CD39442" w:rsidR="00680F65" w:rsidRDefault="00680F65" w:rsidP="00680F65">
            <w:r>
              <w:t>up to $17,400</w:t>
            </w:r>
          </w:p>
        </w:tc>
        <w:tc>
          <w:tcPr>
            <w:tcW w:w="2250" w:type="dxa"/>
          </w:tcPr>
          <w:p w14:paraId="2018A2DF" w14:textId="21FA4EEC" w:rsidR="00680F65" w:rsidRDefault="00680F65" w:rsidP="00680F65">
            <w:r>
              <w:t>up to $1</w:t>
            </w:r>
            <w:r w:rsidR="009A7365">
              <w:t>2</w:t>
            </w:r>
            <w:r>
              <w:t>,400</w:t>
            </w:r>
          </w:p>
        </w:tc>
      </w:tr>
      <w:tr w:rsidR="00680F65" w14:paraId="4CC1A1B2" w14:textId="77777777" w:rsidTr="00680F65">
        <w:tc>
          <w:tcPr>
            <w:tcW w:w="1350" w:type="dxa"/>
          </w:tcPr>
          <w:p w14:paraId="179B5EAD" w14:textId="77777777" w:rsidR="00680F65" w:rsidRDefault="00680F65" w:rsidP="00680F65">
            <w:r>
              <w:t>15%</w:t>
            </w:r>
          </w:p>
        </w:tc>
        <w:tc>
          <w:tcPr>
            <w:tcW w:w="2250" w:type="dxa"/>
          </w:tcPr>
          <w:p w14:paraId="3E8BC99F" w14:textId="77777777" w:rsidR="00680F65" w:rsidRDefault="00680F65" w:rsidP="00680F65">
            <w:r>
              <w:t>$8701 to $35,350</w:t>
            </w:r>
          </w:p>
        </w:tc>
        <w:tc>
          <w:tcPr>
            <w:tcW w:w="2250" w:type="dxa"/>
          </w:tcPr>
          <w:p w14:paraId="13C2AA23" w14:textId="77777777" w:rsidR="00680F65" w:rsidRDefault="00680F65" w:rsidP="00680F65">
            <w:r>
              <w:t>$8701 to $35,350</w:t>
            </w:r>
          </w:p>
        </w:tc>
        <w:tc>
          <w:tcPr>
            <w:tcW w:w="2250" w:type="dxa"/>
          </w:tcPr>
          <w:p w14:paraId="2E05BE3B" w14:textId="7C4820B3" w:rsidR="00680F65" w:rsidRDefault="00680F65" w:rsidP="00680F65">
            <w:r>
              <w:t>$17,401 to $70,700</w:t>
            </w:r>
          </w:p>
        </w:tc>
        <w:tc>
          <w:tcPr>
            <w:tcW w:w="2250" w:type="dxa"/>
          </w:tcPr>
          <w:p w14:paraId="2D5FBC25" w14:textId="127D3B2E" w:rsidR="00680F65" w:rsidRDefault="00680F65" w:rsidP="00680F65">
            <w:r>
              <w:t>$1</w:t>
            </w:r>
            <w:r w:rsidR="009A7365">
              <w:t>2</w:t>
            </w:r>
            <w:r>
              <w:t>,401 to $</w:t>
            </w:r>
            <w:r w:rsidR="009A7365">
              <w:t>47,35</w:t>
            </w:r>
            <w:r>
              <w:t>0</w:t>
            </w:r>
          </w:p>
        </w:tc>
      </w:tr>
      <w:tr w:rsidR="00680F65" w14:paraId="04569806" w14:textId="77777777" w:rsidTr="00680F65">
        <w:tc>
          <w:tcPr>
            <w:tcW w:w="1350" w:type="dxa"/>
          </w:tcPr>
          <w:p w14:paraId="3B6503BA" w14:textId="77777777" w:rsidR="00680F65" w:rsidRDefault="00680F65" w:rsidP="00680F65">
            <w:r>
              <w:t>25%</w:t>
            </w:r>
          </w:p>
        </w:tc>
        <w:tc>
          <w:tcPr>
            <w:tcW w:w="2250" w:type="dxa"/>
          </w:tcPr>
          <w:p w14:paraId="2D4CDD26" w14:textId="77777777" w:rsidR="00680F65" w:rsidRDefault="00680F65" w:rsidP="00680F65">
            <w:r>
              <w:t>$35,351 to $85,650</w:t>
            </w:r>
          </w:p>
        </w:tc>
        <w:tc>
          <w:tcPr>
            <w:tcW w:w="2250" w:type="dxa"/>
          </w:tcPr>
          <w:p w14:paraId="78CCC7D4" w14:textId="6A84F196" w:rsidR="00680F65" w:rsidRDefault="00680F65" w:rsidP="00680F65">
            <w:r>
              <w:t>$35,351 to $71,350</w:t>
            </w:r>
          </w:p>
        </w:tc>
        <w:tc>
          <w:tcPr>
            <w:tcW w:w="2250" w:type="dxa"/>
          </w:tcPr>
          <w:p w14:paraId="631B05BA" w14:textId="46EAC53E" w:rsidR="00680F65" w:rsidRDefault="00680F65" w:rsidP="00680F65">
            <w:r>
              <w:t>$70,701 to $142,700</w:t>
            </w:r>
          </w:p>
        </w:tc>
        <w:tc>
          <w:tcPr>
            <w:tcW w:w="2250" w:type="dxa"/>
          </w:tcPr>
          <w:p w14:paraId="1EB79833" w14:textId="0E2F5787" w:rsidR="00680F65" w:rsidRDefault="00680F65" w:rsidP="00680F65">
            <w:r>
              <w:t>$</w:t>
            </w:r>
            <w:r w:rsidR="009A7365">
              <w:t>47,35</w:t>
            </w:r>
            <w:r>
              <w:t>1 to $1</w:t>
            </w:r>
            <w:r w:rsidR="009A7365">
              <w:t>22,3</w:t>
            </w:r>
            <w:r>
              <w:t>00</w:t>
            </w:r>
          </w:p>
        </w:tc>
      </w:tr>
      <w:tr w:rsidR="00680F65" w14:paraId="7B7938DE" w14:textId="77777777" w:rsidTr="00680F65">
        <w:tc>
          <w:tcPr>
            <w:tcW w:w="1350" w:type="dxa"/>
          </w:tcPr>
          <w:p w14:paraId="0912DA33" w14:textId="77777777" w:rsidR="00680F65" w:rsidRDefault="00680F65" w:rsidP="00680F65">
            <w:r>
              <w:t>28%</w:t>
            </w:r>
          </w:p>
        </w:tc>
        <w:tc>
          <w:tcPr>
            <w:tcW w:w="2250" w:type="dxa"/>
          </w:tcPr>
          <w:p w14:paraId="33499CF6" w14:textId="77777777" w:rsidR="00680F65" w:rsidRDefault="00680F65" w:rsidP="00680F65">
            <w:r>
              <w:t xml:space="preserve">$85,651 to $178,650 </w:t>
            </w:r>
          </w:p>
        </w:tc>
        <w:tc>
          <w:tcPr>
            <w:tcW w:w="2250" w:type="dxa"/>
          </w:tcPr>
          <w:p w14:paraId="2A175951" w14:textId="79A1B614" w:rsidR="00680F65" w:rsidRDefault="00680F65" w:rsidP="00680F65">
            <w:r>
              <w:t xml:space="preserve">$71,351 to $108,725 </w:t>
            </w:r>
          </w:p>
        </w:tc>
        <w:tc>
          <w:tcPr>
            <w:tcW w:w="2250" w:type="dxa"/>
          </w:tcPr>
          <w:p w14:paraId="5CCA4AFF" w14:textId="287C6157" w:rsidR="00680F65" w:rsidRDefault="00680F65" w:rsidP="00680F65">
            <w:r>
              <w:t xml:space="preserve">$142,701 to $217,450 </w:t>
            </w:r>
          </w:p>
        </w:tc>
        <w:tc>
          <w:tcPr>
            <w:tcW w:w="2250" w:type="dxa"/>
          </w:tcPr>
          <w:p w14:paraId="57ABF8EB" w14:textId="71F45AEC" w:rsidR="00680F65" w:rsidRDefault="00680F65" w:rsidP="00680F65">
            <w:r>
              <w:t>$1</w:t>
            </w:r>
            <w:r w:rsidR="009A7365">
              <w:t>22,3</w:t>
            </w:r>
            <w:r>
              <w:t>01 to $</w:t>
            </w:r>
            <w:r w:rsidR="009A7365">
              <w:t>198,0</w:t>
            </w:r>
            <w:r>
              <w:t xml:space="preserve">50 </w:t>
            </w:r>
          </w:p>
        </w:tc>
      </w:tr>
      <w:tr w:rsidR="00680F65" w14:paraId="230FF660" w14:textId="77777777" w:rsidTr="00680F65">
        <w:tc>
          <w:tcPr>
            <w:tcW w:w="1350" w:type="dxa"/>
          </w:tcPr>
          <w:p w14:paraId="74879342" w14:textId="77777777" w:rsidR="00680F65" w:rsidRDefault="00680F65" w:rsidP="00680F65">
            <w:r>
              <w:t>33%</w:t>
            </w:r>
          </w:p>
        </w:tc>
        <w:tc>
          <w:tcPr>
            <w:tcW w:w="2250" w:type="dxa"/>
          </w:tcPr>
          <w:p w14:paraId="10293980" w14:textId="77777777" w:rsidR="00680F65" w:rsidRDefault="00680F65" w:rsidP="00680F65">
            <w:r>
              <w:t>$178,651 to $388,350</w:t>
            </w:r>
          </w:p>
        </w:tc>
        <w:tc>
          <w:tcPr>
            <w:tcW w:w="2250" w:type="dxa"/>
          </w:tcPr>
          <w:p w14:paraId="188F93FB" w14:textId="24405BB4" w:rsidR="00680F65" w:rsidRDefault="00680F65" w:rsidP="00680F65">
            <w:r>
              <w:t>$108,726 to $194,175</w:t>
            </w:r>
          </w:p>
        </w:tc>
        <w:tc>
          <w:tcPr>
            <w:tcW w:w="2250" w:type="dxa"/>
          </w:tcPr>
          <w:p w14:paraId="572CCBAA" w14:textId="400BBEE7" w:rsidR="00680F65" w:rsidRDefault="00680F65" w:rsidP="00680F65">
            <w:r>
              <w:t>$217,451 to $388,350</w:t>
            </w:r>
          </w:p>
        </w:tc>
        <w:tc>
          <w:tcPr>
            <w:tcW w:w="2250" w:type="dxa"/>
          </w:tcPr>
          <w:p w14:paraId="6C8E1D89" w14:textId="512D6269" w:rsidR="00680F65" w:rsidRDefault="00680F65" w:rsidP="00680F65">
            <w:r>
              <w:t>$</w:t>
            </w:r>
            <w:r w:rsidR="009A7365">
              <w:t>198,0</w:t>
            </w:r>
            <w:r>
              <w:t>51 to $388,350</w:t>
            </w:r>
          </w:p>
        </w:tc>
      </w:tr>
      <w:tr w:rsidR="00680F65" w14:paraId="35C589CE" w14:textId="77777777" w:rsidTr="00680F65">
        <w:tc>
          <w:tcPr>
            <w:tcW w:w="1350" w:type="dxa"/>
          </w:tcPr>
          <w:p w14:paraId="366B800A" w14:textId="77777777" w:rsidR="00680F65" w:rsidRDefault="00680F65" w:rsidP="00680F65">
            <w:r>
              <w:t>35%</w:t>
            </w:r>
          </w:p>
        </w:tc>
        <w:tc>
          <w:tcPr>
            <w:tcW w:w="2250" w:type="dxa"/>
          </w:tcPr>
          <w:p w14:paraId="551BDE31" w14:textId="77777777" w:rsidR="00680F65" w:rsidRDefault="00680F65" w:rsidP="00680F65">
            <w:r>
              <w:t>more than $388,350</w:t>
            </w:r>
          </w:p>
        </w:tc>
        <w:tc>
          <w:tcPr>
            <w:tcW w:w="2250" w:type="dxa"/>
          </w:tcPr>
          <w:p w14:paraId="2927E07C" w14:textId="76F1ACAB" w:rsidR="00680F65" w:rsidRDefault="00680F65" w:rsidP="00680F65">
            <w:r>
              <w:t>more than $194,175</w:t>
            </w:r>
          </w:p>
        </w:tc>
        <w:tc>
          <w:tcPr>
            <w:tcW w:w="2250" w:type="dxa"/>
          </w:tcPr>
          <w:p w14:paraId="79DBB0FC" w14:textId="5ABA1B42" w:rsidR="00680F65" w:rsidRDefault="00680F65" w:rsidP="00680F65">
            <w:r>
              <w:t>more than $388,350</w:t>
            </w:r>
          </w:p>
        </w:tc>
        <w:tc>
          <w:tcPr>
            <w:tcW w:w="2250" w:type="dxa"/>
          </w:tcPr>
          <w:p w14:paraId="7C21BFBC" w14:textId="0593A626" w:rsidR="00680F65" w:rsidRDefault="00680F65" w:rsidP="00680F65">
            <w:r>
              <w:t>more than $388,350</w:t>
            </w:r>
          </w:p>
        </w:tc>
      </w:tr>
      <w:tr w:rsidR="00680F65" w14:paraId="4311A30F" w14:textId="77777777" w:rsidTr="00680F65">
        <w:tc>
          <w:tcPr>
            <w:tcW w:w="1350" w:type="dxa"/>
          </w:tcPr>
          <w:p w14:paraId="76447D13" w14:textId="77777777" w:rsidR="00680F65" w:rsidRDefault="00680F65" w:rsidP="00680F65">
            <w:r>
              <w:t>Standard Deduction</w:t>
            </w:r>
          </w:p>
        </w:tc>
        <w:tc>
          <w:tcPr>
            <w:tcW w:w="2250" w:type="dxa"/>
            <w:vAlign w:val="center"/>
          </w:tcPr>
          <w:p w14:paraId="3C7F288E" w14:textId="77777777" w:rsidR="00680F65" w:rsidRDefault="00680F65" w:rsidP="00680F65">
            <w:r>
              <w:t>$5950</w:t>
            </w:r>
          </w:p>
        </w:tc>
        <w:tc>
          <w:tcPr>
            <w:tcW w:w="2250" w:type="dxa"/>
            <w:vAlign w:val="center"/>
          </w:tcPr>
          <w:p w14:paraId="7543A3BA" w14:textId="77777777" w:rsidR="00680F65" w:rsidRDefault="00680F65" w:rsidP="00680F65">
            <w:r>
              <w:t>$5950</w:t>
            </w:r>
          </w:p>
        </w:tc>
        <w:tc>
          <w:tcPr>
            <w:tcW w:w="2250" w:type="dxa"/>
            <w:vAlign w:val="center"/>
          </w:tcPr>
          <w:p w14:paraId="3EED1619" w14:textId="2E6FD717" w:rsidR="00680F65" w:rsidRDefault="00680F65" w:rsidP="00680F65">
            <w:r>
              <w:t>$11,900</w:t>
            </w:r>
          </w:p>
        </w:tc>
        <w:tc>
          <w:tcPr>
            <w:tcW w:w="2250" w:type="dxa"/>
            <w:vAlign w:val="center"/>
          </w:tcPr>
          <w:p w14:paraId="28759CEB" w14:textId="3E2FC327" w:rsidR="00680F65" w:rsidRDefault="00680F65" w:rsidP="00680F65">
            <w:r>
              <w:t>$</w:t>
            </w:r>
            <w:r w:rsidR="009A7365">
              <w:t>87</w:t>
            </w:r>
            <w:r>
              <w:t>00</w:t>
            </w:r>
          </w:p>
        </w:tc>
      </w:tr>
      <w:tr w:rsidR="00680F65" w14:paraId="31FC58C4" w14:textId="77777777" w:rsidTr="00680F65">
        <w:tc>
          <w:tcPr>
            <w:tcW w:w="1350" w:type="dxa"/>
          </w:tcPr>
          <w:p w14:paraId="16A95F6D" w14:textId="77777777" w:rsidR="00680F65" w:rsidRDefault="00680F65" w:rsidP="00680F65">
            <w:r>
              <w:t>Exemptions</w:t>
            </w:r>
          </w:p>
          <w:p w14:paraId="7ABE9E6D" w14:textId="77777777" w:rsidR="00680F65" w:rsidRDefault="00680F65" w:rsidP="00680F65">
            <w:r>
              <w:t>(per person)</w:t>
            </w:r>
          </w:p>
        </w:tc>
        <w:tc>
          <w:tcPr>
            <w:tcW w:w="2250" w:type="dxa"/>
            <w:vAlign w:val="center"/>
          </w:tcPr>
          <w:p w14:paraId="7DD0C6E3" w14:textId="77777777" w:rsidR="00680F65" w:rsidRDefault="00680F65" w:rsidP="00680F65">
            <w:r>
              <w:t>$3800</w:t>
            </w:r>
          </w:p>
        </w:tc>
        <w:tc>
          <w:tcPr>
            <w:tcW w:w="2250" w:type="dxa"/>
            <w:vAlign w:val="center"/>
          </w:tcPr>
          <w:p w14:paraId="4D6AE614" w14:textId="77777777" w:rsidR="00680F65" w:rsidRDefault="00680F65" w:rsidP="00680F65">
            <w:r>
              <w:t>$3800</w:t>
            </w:r>
          </w:p>
        </w:tc>
        <w:tc>
          <w:tcPr>
            <w:tcW w:w="2250" w:type="dxa"/>
            <w:vAlign w:val="center"/>
          </w:tcPr>
          <w:p w14:paraId="19097199" w14:textId="4FC2B160" w:rsidR="00680F65" w:rsidRDefault="00680F65" w:rsidP="00680F65">
            <w:r>
              <w:t>$3800</w:t>
            </w:r>
          </w:p>
        </w:tc>
        <w:tc>
          <w:tcPr>
            <w:tcW w:w="2250" w:type="dxa"/>
            <w:vAlign w:val="center"/>
          </w:tcPr>
          <w:p w14:paraId="1A57B661" w14:textId="69D7D076" w:rsidR="00680F65" w:rsidRDefault="00680F65" w:rsidP="00680F65">
            <w:r>
              <w:t>$3800</w:t>
            </w:r>
          </w:p>
        </w:tc>
      </w:tr>
    </w:tbl>
    <w:p w14:paraId="38D9B71C" w14:textId="3EF66D33" w:rsidR="00786043" w:rsidRDefault="00786043" w:rsidP="00786043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5D14D0E" w14:textId="6C325B48" w:rsidR="00786043" w:rsidRDefault="00786043" w:rsidP="00786043">
      <w:pPr>
        <w:spacing w:after="0"/>
        <w:rPr>
          <w:rFonts w:cstheme="minorHAnsi"/>
          <w:b/>
          <w:bCs/>
          <w:iCs/>
          <w:sz w:val="24"/>
          <w:szCs w:val="24"/>
        </w:rPr>
      </w:pPr>
      <w:r w:rsidRPr="00786043">
        <w:rPr>
          <w:rFonts w:cstheme="minorHAnsi"/>
          <w:b/>
          <w:bCs/>
          <w:iCs/>
          <w:sz w:val="24"/>
          <w:szCs w:val="24"/>
        </w:rPr>
        <w:t>FORMULAS FOR INCOME TAX CALCULATION</w:t>
      </w:r>
    </w:p>
    <w:p w14:paraId="62E4C161" w14:textId="61981007" w:rsidR="00786043" w:rsidRDefault="00453EEF" w:rsidP="007D51C3">
      <w:pPr>
        <w:spacing w:after="0"/>
        <w:ind w:left="360"/>
        <w:rPr>
          <w:rFonts w:cstheme="minorHAnsi"/>
          <w:bCs/>
          <w:sz w:val="24"/>
          <w:szCs w:val="24"/>
        </w:rPr>
      </w:pPr>
      <w:r w:rsidRPr="00786043">
        <w:rPr>
          <w:rFonts w:cstheme="minorHAnsi"/>
          <w:bCs/>
          <w:position w:val="-10"/>
          <w:sz w:val="24"/>
          <w:szCs w:val="24"/>
        </w:rPr>
        <w:object w:dxaOrig="5480" w:dyaOrig="320" w14:anchorId="62C293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ncome tax equals tax computation from table 8.1 minus tax credits" style="width:273.9pt;height:15.9pt" o:ole="">
            <v:imagedata r:id="rId6" o:title=""/>
          </v:shape>
          <o:OLEObject Type="Embed" ProgID="Equation.DSMT4" ShapeID="_x0000_i1025" DrawAspect="Content" ObjectID="_1625910174" r:id="rId7"/>
        </w:object>
      </w:r>
      <w:r w:rsidR="00786043">
        <w:rPr>
          <w:rFonts w:cstheme="minorHAnsi"/>
          <w:bCs/>
          <w:sz w:val="24"/>
          <w:szCs w:val="24"/>
        </w:rPr>
        <w:t xml:space="preserve"> </w:t>
      </w:r>
    </w:p>
    <w:p w14:paraId="0053BA82" w14:textId="2096079D" w:rsidR="00786043" w:rsidRPr="00786043" w:rsidRDefault="00453EEF" w:rsidP="007D51C3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7D51C3">
        <w:rPr>
          <w:rFonts w:cstheme="minorHAnsi"/>
          <w:bCs/>
          <w:position w:val="-10"/>
          <w:sz w:val="24"/>
          <w:szCs w:val="24"/>
        </w:rPr>
        <w:object w:dxaOrig="6920" w:dyaOrig="320" w14:anchorId="25A9894F">
          <v:shape id="_x0000_i1026" type="#_x0000_t75" alt="payment due left parenthesis or refund right parenthesis equals income tax minus left parenthesis withholding plus prepayments right parenthesis" style="width:345.9pt;height:15.9pt" o:ole="">
            <v:imagedata r:id="rId8" o:title=""/>
          </v:shape>
          <o:OLEObject Type="Embed" ProgID="Equation.DSMT4" ShapeID="_x0000_i1026" DrawAspect="Content" ObjectID="_1625910175" r:id="rId9"/>
        </w:object>
      </w:r>
      <w:r w:rsidR="00786043">
        <w:rPr>
          <w:rFonts w:cstheme="minorHAnsi"/>
          <w:bCs/>
          <w:sz w:val="24"/>
          <w:szCs w:val="24"/>
        </w:rPr>
        <w:t xml:space="preserve"> </w:t>
      </w:r>
    </w:p>
    <w:p w14:paraId="0CA97BC6" w14:textId="2F7549FB" w:rsidR="007D51C3" w:rsidRDefault="007D51C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CFE081C" w14:textId="6E7AB943" w:rsidR="008A622A" w:rsidRPr="00786043" w:rsidRDefault="002C2BD6" w:rsidP="007D51C3">
      <w:pPr>
        <w:pStyle w:val="Heading1"/>
      </w:pPr>
      <w:r w:rsidRPr="00786043">
        <w:lastRenderedPageBreak/>
        <w:t>Objective</w:t>
      </w:r>
      <w:r w:rsidR="008A622A" w:rsidRPr="00786043">
        <w:t xml:space="preserve"> 3:</w:t>
      </w:r>
      <w:r w:rsidR="00C71F12" w:rsidRPr="00786043">
        <w:t xml:space="preserve"> </w:t>
      </w:r>
      <w:r w:rsidR="008A622A" w:rsidRPr="00786043">
        <w:t xml:space="preserve"> Calculate FICA taxes</w:t>
      </w:r>
    </w:p>
    <w:p w14:paraId="00D6C279" w14:textId="77777777" w:rsidR="00BC3163" w:rsidRDefault="00BC3163" w:rsidP="0078604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9112080" w14:textId="64B7F8F5" w:rsidR="00BC3163" w:rsidRDefault="003901DA" w:rsidP="00786043">
      <w:pPr>
        <w:spacing w:after="0" w:line="240" w:lineRule="auto"/>
        <w:rPr>
          <w:rFonts w:cstheme="minorHAnsi"/>
          <w:bCs/>
          <w:sz w:val="24"/>
          <w:szCs w:val="24"/>
        </w:rPr>
      </w:pPr>
      <w:bookmarkStart w:id="0" w:name="_GoBack"/>
      <w:bookmarkEnd w:id="0"/>
      <w:r w:rsidRPr="00786043">
        <w:rPr>
          <w:rFonts w:cstheme="minorHAnsi"/>
          <w:b/>
          <w:sz w:val="24"/>
          <w:szCs w:val="24"/>
        </w:rPr>
        <w:t>FICA</w:t>
      </w:r>
      <w:r w:rsidRPr="00786043">
        <w:rPr>
          <w:rFonts w:cstheme="minorHAnsi"/>
          <w:bCs/>
          <w:sz w:val="24"/>
          <w:szCs w:val="24"/>
        </w:rPr>
        <w:t xml:space="preserve"> (Federal Insurance Contributions Act) taxes are used for Social Security and Medicare benefits</w:t>
      </w:r>
      <w:r w:rsidR="006F4E3A" w:rsidRPr="00786043">
        <w:rPr>
          <w:rFonts w:cstheme="minorHAnsi"/>
          <w:bCs/>
          <w:sz w:val="24"/>
          <w:szCs w:val="24"/>
        </w:rPr>
        <w:t>.  Employees (</w:t>
      </w:r>
      <w:r w:rsidRPr="00786043">
        <w:rPr>
          <w:rFonts w:cstheme="minorHAnsi"/>
          <w:bCs/>
          <w:sz w:val="24"/>
          <w:szCs w:val="24"/>
        </w:rPr>
        <w:t>not self-employed</w:t>
      </w:r>
      <w:r w:rsidR="006F4E3A" w:rsidRPr="00786043">
        <w:rPr>
          <w:rFonts w:cstheme="minorHAnsi"/>
          <w:bCs/>
          <w:sz w:val="24"/>
          <w:szCs w:val="24"/>
        </w:rPr>
        <w:t>)</w:t>
      </w:r>
      <w:r w:rsidRPr="00786043">
        <w:rPr>
          <w:rFonts w:cstheme="minorHAnsi"/>
          <w:bCs/>
          <w:sz w:val="24"/>
          <w:szCs w:val="24"/>
        </w:rPr>
        <w:t xml:space="preserve"> </w:t>
      </w:r>
      <w:r w:rsidR="006F4E3A" w:rsidRPr="00786043">
        <w:rPr>
          <w:rFonts w:cstheme="minorHAnsi"/>
          <w:bCs/>
          <w:sz w:val="24"/>
          <w:szCs w:val="24"/>
        </w:rPr>
        <w:t>and employers each pay a portion of</w:t>
      </w:r>
      <w:r w:rsidRPr="00786043">
        <w:rPr>
          <w:rFonts w:cstheme="minorHAnsi"/>
          <w:bCs/>
          <w:sz w:val="24"/>
          <w:szCs w:val="24"/>
        </w:rPr>
        <w:t xml:space="preserve"> FICA taxes.  </w:t>
      </w:r>
      <w:r w:rsidR="006F4E3A" w:rsidRPr="00786043">
        <w:rPr>
          <w:rFonts w:cstheme="minorHAnsi"/>
          <w:bCs/>
          <w:sz w:val="24"/>
          <w:szCs w:val="24"/>
        </w:rPr>
        <w:t>The employee’s portion is withheld from each paycheck.  Self-employed individuals are responsible for their total FICA tax.</w:t>
      </w:r>
    </w:p>
    <w:p w14:paraId="29AD272D" w14:textId="25AFEC83" w:rsidR="001035AB" w:rsidRDefault="00BC3163" w:rsidP="00786043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p w14:paraId="7C81B3A8" w14:textId="4E28D913" w:rsidR="001035AB" w:rsidRDefault="00684372" w:rsidP="00786043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Table 8.2</w:t>
      </w:r>
      <w:r w:rsidR="001035AB">
        <w:rPr>
          <w:rFonts w:cstheme="minorHAnsi"/>
          <w:bCs/>
          <w:sz w:val="24"/>
          <w:szCs w:val="24"/>
        </w:rPr>
        <w:t xml:space="preserve"> below gives 2012 FICA tax rates.</w:t>
      </w:r>
    </w:p>
    <w:p w14:paraId="1D92AB7A" w14:textId="1EC92AD5" w:rsidR="001035AB" w:rsidRDefault="001035AB" w:rsidP="00786043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eGrid"/>
        <w:tblW w:w="9445" w:type="dxa"/>
        <w:tblLook w:val="0420" w:firstRow="1" w:lastRow="0" w:firstColumn="0" w:lastColumn="0" w:noHBand="0" w:noVBand="1"/>
        <w:tblDescription w:val="2012 FICA tax rates by who pays"/>
      </w:tblPr>
      <w:tblGrid>
        <w:gridCol w:w="2965"/>
        <w:gridCol w:w="3268"/>
        <w:gridCol w:w="3212"/>
      </w:tblGrid>
      <w:tr w:rsidR="003F155B" w14:paraId="72CA5DF0" w14:textId="77777777" w:rsidTr="006412D8">
        <w:trPr>
          <w:tblHeader/>
        </w:trPr>
        <w:tc>
          <w:tcPr>
            <w:tcW w:w="2965" w:type="dxa"/>
          </w:tcPr>
          <w:p w14:paraId="396F9D82" w14:textId="25207302" w:rsidR="003F155B" w:rsidRPr="003F155B" w:rsidRDefault="003F155B" w:rsidP="007860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Employee’s  Rates</w:t>
            </w:r>
          </w:p>
        </w:tc>
        <w:tc>
          <w:tcPr>
            <w:tcW w:w="3268" w:type="dxa"/>
          </w:tcPr>
          <w:p w14:paraId="09FA6051" w14:textId="58FFCAD8" w:rsidR="003F155B" w:rsidRPr="003F155B" w:rsidRDefault="003F155B" w:rsidP="00786043">
            <w:pPr>
              <w:rPr>
                <w:rFonts w:cstheme="minorHAnsi"/>
                <w:b/>
                <w:sz w:val="24"/>
                <w:szCs w:val="24"/>
              </w:rPr>
            </w:pPr>
            <w:r w:rsidRPr="003F155B">
              <w:rPr>
                <w:rFonts w:cstheme="minorHAnsi"/>
                <w:b/>
                <w:sz w:val="24"/>
                <w:szCs w:val="24"/>
              </w:rPr>
              <w:t>Matching Rates Paid by the Employer</w:t>
            </w:r>
          </w:p>
        </w:tc>
        <w:tc>
          <w:tcPr>
            <w:tcW w:w="3212" w:type="dxa"/>
          </w:tcPr>
          <w:p w14:paraId="654DBFF7" w14:textId="32FE8983" w:rsidR="003F155B" w:rsidRPr="003F155B" w:rsidRDefault="003F155B" w:rsidP="00786043">
            <w:pPr>
              <w:rPr>
                <w:rFonts w:cstheme="minorHAnsi"/>
                <w:b/>
                <w:sz w:val="24"/>
                <w:szCs w:val="24"/>
              </w:rPr>
            </w:pPr>
            <w:r w:rsidRPr="003F155B">
              <w:rPr>
                <w:rFonts w:cstheme="minorHAnsi"/>
                <w:b/>
                <w:sz w:val="24"/>
                <w:szCs w:val="24"/>
              </w:rPr>
              <w:t>Self-Employed Rates</w:t>
            </w:r>
          </w:p>
        </w:tc>
      </w:tr>
      <w:tr w:rsidR="003F155B" w14:paraId="45846052" w14:textId="77777777" w:rsidTr="006412D8">
        <w:tc>
          <w:tcPr>
            <w:tcW w:w="2965" w:type="dxa"/>
          </w:tcPr>
          <w:p w14:paraId="7D292A6C" w14:textId="77777777" w:rsidR="003F155B" w:rsidRDefault="003F155B" w:rsidP="003F155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5.65% on first $110,000 of income</w:t>
            </w:r>
          </w:p>
          <w:p w14:paraId="5882C004" w14:textId="0D434AFA" w:rsidR="003F155B" w:rsidRPr="003F155B" w:rsidRDefault="003F155B" w:rsidP="003F155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1.45% of income in excess of $110,000</w:t>
            </w:r>
          </w:p>
        </w:tc>
        <w:tc>
          <w:tcPr>
            <w:tcW w:w="3268" w:type="dxa"/>
          </w:tcPr>
          <w:p w14:paraId="3E635DA0" w14:textId="77777777" w:rsidR="003F155B" w:rsidRDefault="003F155B" w:rsidP="003F155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7.65% on first $110,000 paid in wages</w:t>
            </w:r>
          </w:p>
          <w:p w14:paraId="2B0D2ECC" w14:textId="76497C90" w:rsidR="003F155B" w:rsidRPr="003F155B" w:rsidRDefault="003F155B" w:rsidP="003F155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1.45% of wages paid in excess of $110,000</w:t>
            </w:r>
          </w:p>
        </w:tc>
        <w:tc>
          <w:tcPr>
            <w:tcW w:w="3212" w:type="dxa"/>
          </w:tcPr>
          <w:p w14:paraId="6AB960DF" w14:textId="77777777" w:rsidR="003F155B" w:rsidRDefault="003F155B" w:rsidP="003F155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13.3% on first $110,000 of net profits</w:t>
            </w:r>
          </w:p>
          <w:p w14:paraId="33C91DAE" w14:textId="5DE232A7" w:rsidR="003F155B" w:rsidRPr="003F155B" w:rsidRDefault="003F155B" w:rsidP="003F155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2.9% of net profits in excess of $110,000</w:t>
            </w:r>
          </w:p>
        </w:tc>
      </w:tr>
    </w:tbl>
    <w:p w14:paraId="267CFA1B" w14:textId="77777777" w:rsidR="001035AB" w:rsidRPr="00786043" w:rsidRDefault="001035AB" w:rsidP="003F155B">
      <w:pPr>
        <w:spacing w:after="3600" w:line="240" w:lineRule="auto"/>
        <w:rPr>
          <w:rFonts w:cstheme="minorHAnsi"/>
          <w:bCs/>
          <w:sz w:val="24"/>
          <w:szCs w:val="24"/>
        </w:rPr>
      </w:pPr>
    </w:p>
    <w:p w14:paraId="57B65528" w14:textId="5118B035" w:rsidR="00AE52D4" w:rsidRDefault="002C2BD6" w:rsidP="0078604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6043">
        <w:rPr>
          <w:rFonts w:cstheme="minorHAnsi"/>
          <w:b/>
          <w:bCs/>
          <w:sz w:val="24"/>
          <w:szCs w:val="24"/>
        </w:rPr>
        <w:t>Objective</w:t>
      </w:r>
      <w:r w:rsidR="00C71F12" w:rsidRPr="00786043">
        <w:rPr>
          <w:rFonts w:cstheme="minorHAnsi"/>
          <w:b/>
          <w:bCs/>
          <w:sz w:val="24"/>
          <w:szCs w:val="24"/>
        </w:rPr>
        <w:t xml:space="preserve"> 4:  </w:t>
      </w:r>
      <w:r w:rsidR="008A622A" w:rsidRPr="00786043">
        <w:rPr>
          <w:rFonts w:cstheme="minorHAnsi"/>
          <w:b/>
          <w:bCs/>
          <w:sz w:val="24"/>
          <w:szCs w:val="24"/>
        </w:rPr>
        <w:t>Solve problems involving working students and taxes</w:t>
      </w:r>
    </w:p>
    <w:p w14:paraId="3B2CB5B3" w14:textId="77777777" w:rsidR="00BC3163" w:rsidRPr="00786043" w:rsidRDefault="00BC3163" w:rsidP="0078604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C15AE19" w14:textId="309D780D" w:rsidR="00C445D8" w:rsidRPr="007D51C3" w:rsidRDefault="006F4E3A" w:rsidP="00786043">
      <w:pPr>
        <w:spacing w:after="0" w:line="240" w:lineRule="auto"/>
        <w:rPr>
          <w:rFonts w:cstheme="minorHAnsi"/>
          <w:sz w:val="24"/>
          <w:szCs w:val="24"/>
        </w:rPr>
      </w:pPr>
      <w:r w:rsidRPr="00786043">
        <w:rPr>
          <w:rFonts w:cstheme="minorHAnsi"/>
          <w:b/>
          <w:sz w:val="24"/>
          <w:szCs w:val="24"/>
        </w:rPr>
        <w:t>G</w:t>
      </w:r>
      <w:r w:rsidR="00995A85" w:rsidRPr="00786043">
        <w:rPr>
          <w:rFonts w:cstheme="minorHAnsi"/>
          <w:b/>
          <w:sz w:val="24"/>
          <w:szCs w:val="24"/>
        </w:rPr>
        <w:t xml:space="preserve">ross pay </w:t>
      </w:r>
      <w:r w:rsidR="00995A85" w:rsidRPr="00786043">
        <w:rPr>
          <w:rFonts w:cstheme="minorHAnsi"/>
          <w:sz w:val="24"/>
          <w:szCs w:val="24"/>
        </w:rPr>
        <w:t xml:space="preserve">(or base </w:t>
      </w:r>
      <w:r w:rsidRPr="00786043">
        <w:rPr>
          <w:rFonts w:cstheme="minorHAnsi"/>
          <w:sz w:val="24"/>
          <w:szCs w:val="24"/>
        </w:rPr>
        <w:t xml:space="preserve">pay) is the amount of money </w:t>
      </w:r>
      <w:r w:rsidR="00995A85" w:rsidRPr="00786043">
        <w:rPr>
          <w:rFonts w:cstheme="minorHAnsi"/>
          <w:sz w:val="24"/>
          <w:szCs w:val="24"/>
        </w:rPr>
        <w:t>earned dur</w:t>
      </w:r>
      <w:r w:rsidRPr="00786043">
        <w:rPr>
          <w:rFonts w:cstheme="minorHAnsi"/>
          <w:sz w:val="24"/>
          <w:szCs w:val="24"/>
        </w:rPr>
        <w:t>ing the time represented on each</w:t>
      </w:r>
      <w:r w:rsidR="003538D0" w:rsidRPr="00786043">
        <w:rPr>
          <w:rFonts w:cstheme="minorHAnsi"/>
          <w:sz w:val="24"/>
          <w:szCs w:val="24"/>
        </w:rPr>
        <w:t xml:space="preserve"> paycheck.  For employees</w:t>
      </w:r>
      <w:r w:rsidR="00995A85" w:rsidRPr="00786043">
        <w:rPr>
          <w:rFonts w:cstheme="minorHAnsi"/>
          <w:sz w:val="24"/>
          <w:szCs w:val="24"/>
        </w:rPr>
        <w:t xml:space="preserve"> paid on an hourly basis,</w:t>
      </w:r>
      <w:r w:rsidR="003538D0" w:rsidRPr="00786043">
        <w:rPr>
          <w:rFonts w:cstheme="minorHAnsi"/>
          <w:sz w:val="24"/>
          <w:szCs w:val="24"/>
        </w:rPr>
        <w:t xml:space="preserve"> this is the number of hours</w:t>
      </w:r>
      <w:r w:rsidR="00995A85" w:rsidRPr="00786043">
        <w:rPr>
          <w:rFonts w:cstheme="minorHAnsi"/>
          <w:sz w:val="24"/>
          <w:szCs w:val="24"/>
        </w:rPr>
        <w:t xml:space="preserve"> </w:t>
      </w:r>
      <w:r w:rsidR="003538D0" w:rsidRPr="00786043">
        <w:rPr>
          <w:rFonts w:cstheme="minorHAnsi"/>
          <w:sz w:val="24"/>
          <w:szCs w:val="24"/>
        </w:rPr>
        <w:t xml:space="preserve">worked times the hourly pay.  The </w:t>
      </w:r>
      <w:r w:rsidR="00995A85" w:rsidRPr="00786043">
        <w:rPr>
          <w:rFonts w:cstheme="minorHAnsi"/>
          <w:sz w:val="24"/>
          <w:szCs w:val="24"/>
        </w:rPr>
        <w:t xml:space="preserve">employer withholds a percentage for federal income tax, FICA, and state taxes.  </w:t>
      </w:r>
      <w:r w:rsidR="003538D0" w:rsidRPr="00786043">
        <w:rPr>
          <w:rFonts w:cstheme="minorHAnsi"/>
          <w:b/>
          <w:sz w:val="24"/>
          <w:szCs w:val="24"/>
        </w:rPr>
        <w:t>Net pay</w:t>
      </w:r>
      <w:r w:rsidR="003538D0" w:rsidRPr="00786043">
        <w:rPr>
          <w:rFonts w:cstheme="minorHAnsi"/>
          <w:sz w:val="24"/>
          <w:szCs w:val="24"/>
        </w:rPr>
        <w:t xml:space="preserve"> is t</w:t>
      </w:r>
      <w:r w:rsidR="008959AE" w:rsidRPr="00786043">
        <w:rPr>
          <w:rFonts w:cstheme="minorHAnsi"/>
          <w:sz w:val="24"/>
          <w:szCs w:val="24"/>
        </w:rPr>
        <w:t>he amount of money the employee actually receives</w:t>
      </w:r>
      <w:r w:rsidR="003538D0" w:rsidRPr="00786043">
        <w:rPr>
          <w:rFonts w:cstheme="minorHAnsi"/>
          <w:sz w:val="24"/>
          <w:szCs w:val="24"/>
        </w:rPr>
        <w:t xml:space="preserve"> for the pay period. </w:t>
      </w:r>
    </w:p>
    <w:sectPr w:rsidR="00C445D8" w:rsidRPr="007D5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5C0E"/>
    <w:multiLevelType w:val="hybridMultilevel"/>
    <w:tmpl w:val="AD9CB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D753D"/>
    <w:multiLevelType w:val="hybridMultilevel"/>
    <w:tmpl w:val="F876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87"/>
    <w:rsid w:val="00006EBD"/>
    <w:rsid w:val="0001259A"/>
    <w:rsid w:val="00026086"/>
    <w:rsid w:val="000D0A41"/>
    <w:rsid w:val="000F69DC"/>
    <w:rsid w:val="001035AB"/>
    <w:rsid w:val="001E3630"/>
    <w:rsid w:val="00226CF9"/>
    <w:rsid w:val="00231058"/>
    <w:rsid w:val="002C2BD6"/>
    <w:rsid w:val="00333F99"/>
    <w:rsid w:val="003424C7"/>
    <w:rsid w:val="003538D0"/>
    <w:rsid w:val="00382C1A"/>
    <w:rsid w:val="003901DA"/>
    <w:rsid w:val="003E064C"/>
    <w:rsid w:val="003F155B"/>
    <w:rsid w:val="003F4C38"/>
    <w:rsid w:val="00423809"/>
    <w:rsid w:val="00441810"/>
    <w:rsid w:val="00453EEF"/>
    <w:rsid w:val="00512E2F"/>
    <w:rsid w:val="005A59E9"/>
    <w:rsid w:val="005F5909"/>
    <w:rsid w:val="006412D8"/>
    <w:rsid w:val="00680F65"/>
    <w:rsid w:val="00681407"/>
    <w:rsid w:val="00684372"/>
    <w:rsid w:val="00693915"/>
    <w:rsid w:val="006A5AFC"/>
    <w:rsid w:val="006F4E3A"/>
    <w:rsid w:val="00786043"/>
    <w:rsid w:val="007D51C3"/>
    <w:rsid w:val="008515AF"/>
    <w:rsid w:val="008959AE"/>
    <w:rsid w:val="008A622A"/>
    <w:rsid w:val="008B5B6B"/>
    <w:rsid w:val="008E3A35"/>
    <w:rsid w:val="00995A85"/>
    <w:rsid w:val="009A7365"/>
    <w:rsid w:val="00A148F1"/>
    <w:rsid w:val="00A80939"/>
    <w:rsid w:val="00AE52D4"/>
    <w:rsid w:val="00BC3163"/>
    <w:rsid w:val="00BC6ED8"/>
    <w:rsid w:val="00C445D8"/>
    <w:rsid w:val="00C60337"/>
    <w:rsid w:val="00C71F12"/>
    <w:rsid w:val="00CA12B2"/>
    <w:rsid w:val="00CF0D08"/>
    <w:rsid w:val="00D51CA6"/>
    <w:rsid w:val="00D632FB"/>
    <w:rsid w:val="00D92887"/>
    <w:rsid w:val="00DE5A20"/>
    <w:rsid w:val="00EC6349"/>
    <w:rsid w:val="00EE458F"/>
    <w:rsid w:val="00F548EB"/>
    <w:rsid w:val="00F723A7"/>
    <w:rsid w:val="00FC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DFA916"/>
  <w15:chartTrackingRefBased/>
  <w15:docId w15:val="{3A645224-D3FA-4E29-97CE-341C1247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043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45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8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5909"/>
    <w:pPr>
      <w:spacing w:after="0" w:line="240" w:lineRule="auto"/>
    </w:pPr>
  </w:style>
  <w:style w:type="table" w:styleId="TableGrid">
    <w:name w:val="Table Grid"/>
    <w:basedOn w:val="TableNormal"/>
    <w:uiPriority w:val="39"/>
    <w:rsid w:val="0000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86043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043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86043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7D1B-1C8E-4154-9095-763DD79D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Bush</dc:creator>
  <cp:keywords/>
  <dc:description/>
  <cp:lastModifiedBy>kurtz</cp:lastModifiedBy>
  <cp:revision>20</cp:revision>
  <cp:lastPrinted>2017-09-06T17:20:00Z</cp:lastPrinted>
  <dcterms:created xsi:type="dcterms:W3CDTF">2019-07-28T19:12:00Z</dcterms:created>
  <dcterms:modified xsi:type="dcterms:W3CDTF">2019-07-29T17:56:00Z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