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7C726" w14:textId="77777777" w:rsidR="00BE2EE7" w:rsidRPr="00BE2EE7" w:rsidRDefault="003A1D8A" w:rsidP="00F46CB0">
      <w:pPr>
        <w:pStyle w:val="Title"/>
        <w:rPr>
          <w:b w:val="0"/>
        </w:rPr>
      </w:pPr>
      <w:proofErr w:type="gramStart"/>
      <w:r>
        <w:t xml:space="preserve">8.5  </w:t>
      </w:r>
      <w:r w:rsidR="00BE2EE7">
        <w:t>Annuities</w:t>
      </w:r>
      <w:proofErr w:type="gramEnd"/>
      <w:r w:rsidR="00BE2EE7">
        <w:t>, Methods of Saving, and Investments</w:t>
      </w:r>
    </w:p>
    <w:p w14:paraId="3AAFF1C5" w14:textId="77777777" w:rsidR="00BE2EE7" w:rsidRDefault="009372CD" w:rsidP="00F46CB0">
      <w:pPr>
        <w:pStyle w:val="Heading1"/>
        <w:rPr>
          <w:b w:val="0"/>
        </w:rPr>
      </w:pPr>
      <w:r>
        <w:t>Objective</w:t>
      </w:r>
      <w:r w:rsidR="00304005">
        <w:t xml:space="preserve"> 1:  D</w:t>
      </w:r>
      <w:r w:rsidR="002F08DC">
        <w:t>etermine</w:t>
      </w:r>
      <w:r w:rsidR="00BE2EE7">
        <w:t xml:space="preserve"> the value of an annuity</w:t>
      </w:r>
    </w:p>
    <w:p w14:paraId="65620B84" w14:textId="77777777" w:rsidR="00616BA5" w:rsidRDefault="00616BA5" w:rsidP="00F46CB0">
      <w:pPr>
        <w:pStyle w:val="NoSpacing"/>
        <w:rPr>
          <w:rFonts w:cstheme="minorHAnsi"/>
          <w:sz w:val="24"/>
          <w:szCs w:val="24"/>
        </w:rPr>
      </w:pPr>
    </w:p>
    <w:p w14:paraId="0ADADAE0" w14:textId="3E051E23" w:rsidR="00BE2EE7" w:rsidRDefault="00BE2EE7" w:rsidP="00F46CB0">
      <w:pPr>
        <w:pStyle w:val="NoSpacing"/>
        <w:rPr>
          <w:rFonts w:cstheme="minorHAnsi"/>
          <w:sz w:val="24"/>
          <w:szCs w:val="24"/>
        </w:rPr>
      </w:pPr>
      <w:r w:rsidRPr="00F46CB0">
        <w:rPr>
          <w:rFonts w:cstheme="minorHAnsi"/>
          <w:sz w:val="24"/>
          <w:szCs w:val="24"/>
        </w:rPr>
        <w:t xml:space="preserve">An </w:t>
      </w:r>
      <w:r w:rsidRPr="00F46CB0">
        <w:rPr>
          <w:rFonts w:cstheme="minorHAnsi"/>
          <w:b/>
          <w:sz w:val="24"/>
          <w:szCs w:val="24"/>
        </w:rPr>
        <w:t>annuity</w:t>
      </w:r>
      <w:r w:rsidRPr="00F46CB0">
        <w:rPr>
          <w:rFonts w:cstheme="minorHAnsi"/>
          <w:sz w:val="24"/>
          <w:szCs w:val="24"/>
        </w:rPr>
        <w:t xml:space="preserve"> is a sequence of equal payments made at equal time periods. </w:t>
      </w:r>
      <w:r w:rsidR="00373D91" w:rsidRPr="00F46CB0">
        <w:rPr>
          <w:rFonts w:cstheme="minorHAnsi"/>
          <w:sz w:val="24"/>
          <w:szCs w:val="24"/>
        </w:rPr>
        <w:t xml:space="preserve"> </w:t>
      </w:r>
      <w:r w:rsidRPr="00F46CB0">
        <w:rPr>
          <w:rFonts w:cstheme="minorHAnsi"/>
          <w:sz w:val="24"/>
          <w:szCs w:val="24"/>
        </w:rPr>
        <w:t xml:space="preserve">The </w:t>
      </w:r>
      <w:r w:rsidRPr="00F46CB0">
        <w:rPr>
          <w:rFonts w:cstheme="minorHAnsi"/>
          <w:b/>
          <w:sz w:val="24"/>
          <w:szCs w:val="24"/>
        </w:rPr>
        <w:t>value of an annuity</w:t>
      </w:r>
      <w:r w:rsidRPr="00F46CB0">
        <w:rPr>
          <w:rFonts w:cstheme="minorHAnsi"/>
          <w:sz w:val="24"/>
          <w:szCs w:val="24"/>
        </w:rPr>
        <w:t xml:space="preserve"> is the sum of all deposits plus all interest paid.</w:t>
      </w:r>
    </w:p>
    <w:p w14:paraId="17F65FC4" w14:textId="77777777" w:rsidR="00F46CB0" w:rsidRPr="00F46CB0" w:rsidRDefault="00F46CB0" w:rsidP="00F46CB0">
      <w:pPr>
        <w:pStyle w:val="NoSpacing"/>
        <w:rPr>
          <w:rFonts w:cstheme="minorHAnsi"/>
          <w:sz w:val="24"/>
          <w:szCs w:val="24"/>
        </w:rPr>
      </w:pPr>
    </w:p>
    <w:p w14:paraId="40436080" w14:textId="77777777" w:rsidR="00F46CB0" w:rsidRPr="00F46CB0" w:rsidRDefault="00F46CB0" w:rsidP="00F46CB0">
      <w:pPr>
        <w:spacing w:after="0" w:line="240" w:lineRule="auto"/>
        <w:rPr>
          <w:rFonts w:cstheme="minorHAnsi"/>
          <w:b/>
          <w:sz w:val="24"/>
          <w:szCs w:val="24"/>
        </w:rPr>
      </w:pPr>
      <w:r w:rsidRPr="00F46CB0">
        <w:rPr>
          <w:rFonts w:cstheme="minorHAnsi"/>
          <w:b/>
          <w:sz w:val="24"/>
          <w:szCs w:val="24"/>
        </w:rPr>
        <w:t>DETERMINING THE VALUE OF AN ANNUITY</w:t>
      </w:r>
    </w:p>
    <w:p w14:paraId="73D9D9E0" w14:textId="61C48F3C" w:rsidR="00F46CB0" w:rsidRDefault="00F46CB0" w:rsidP="00F46CB0">
      <w:pPr>
        <w:spacing w:after="0" w:line="240" w:lineRule="auto"/>
        <w:rPr>
          <w:rFonts w:cstheme="minorHAnsi"/>
          <w:sz w:val="24"/>
          <w:szCs w:val="24"/>
        </w:rPr>
      </w:pPr>
      <w:r w:rsidRPr="00F46CB0">
        <w:rPr>
          <w:rFonts w:cstheme="minorHAnsi"/>
          <w:sz w:val="24"/>
          <w:szCs w:val="24"/>
        </w:rPr>
        <w:t xml:space="preserve">If </w:t>
      </w:r>
      <w:r w:rsidRPr="00F46CB0">
        <w:rPr>
          <w:rFonts w:cstheme="minorHAnsi"/>
          <w:i/>
          <w:sz w:val="24"/>
          <w:szCs w:val="24"/>
        </w:rPr>
        <w:t>P</w:t>
      </w:r>
      <w:r w:rsidRPr="00F46CB0">
        <w:rPr>
          <w:rFonts w:cstheme="minorHAnsi"/>
          <w:sz w:val="24"/>
          <w:szCs w:val="24"/>
        </w:rPr>
        <w:t xml:space="preserve"> is the deposit made at the end of each compounding period for an annuity that pays an annual interest rate </w:t>
      </w:r>
      <w:r w:rsidRPr="00F46CB0">
        <w:rPr>
          <w:rFonts w:cstheme="minorHAnsi"/>
          <w:i/>
          <w:sz w:val="24"/>
          <w:szCs w:val="24"/>
        </w:rPr>
        <w:t>r</w:t>
      </w:r>
      <w:r w:rsidRPr="00F46CB0">
        <w:rPr>
          <w:rFonts w:cstheme="minorHAnsi"/>
          <w:sz w:val="24"/>
          <w:szCs w:val="24"/>
        </w:rPr>
        <w:t xml:space="preserve"> compounded </w:t>
      </w:r>
      <w:r w:rsidRPr="00F46CB0">
        <w:rPr>
          <w:rFonts w:cstheme="minorHAnsi"/>
          <w:i/>
          <w:sz w:val="24"/>
          <w:szCs w:val="24"/>
        </w:rPr>
        <w:t>n</w:t>
      </w:r>
      <w:r w:rsidRPr="00F46CB0">
        <w:rPr>
          <w:rFonts w:cstheme="minorHAnsi"/>
          <w:sz w:val="24"/>
          <w:szCs w:val="24"/>
        </w:rPr>
        <w:t xml:space="preserve"> times per year, the value, </w:t>
      </w:r>
      <w:r w:rsidRPr="00F46CB0">
        <w:rPr>
          <w:rFonts w:cstheme="minorHAnsi"/>
          <w:i/>
          <w:sz w:val="24"/>
          <w:szCs w:val="24"/>
        </w:rPr>
        <w:t>A</w:t>
      </w:r>
      <w:r w:rsidRPr="00F46CB0">
        <w:rPr>
          <w:rFonts w:cstheme="minorHAnsi"/>
          <w:sz w:val="24"/>
          <w:szCs w:val="24"/>
        </w:rPr>
        <w:t xml:space="preserve">, of the annuity after </w:t>
      </w:r>
      <w:r w:rsidRPr="00F46CB0">
        <w:rPr>
          <w:rFonts w:cstheme="minorHAnsi"/>
          <w:i/>
          <w:sz w:val="24"/>
          <w:szCs w:val="24"/>
        </w:rPr>
        <w:t>t</w:t>
      </w:r>
      <w:r w:rsidRPr="00F46CB0">
        <w:rPr>
          <w:rFonts w:cstheme="minorHAnsi"/>
          <w:sz w:val="24"/>
          <w:szCs w:val="24"/>
        </w:rPr>
        <w:t xml:space="preserve"> years is</w:t>
      </w:r>
    </w:p>
    <w:p w14:paraId="4CB7D101" w14:textId="47BE661A" w:rsidR="00F46CB0" w:rsidRPr="00F46CB0" w:rsidRDefault="006B1E4D" w:rsidP="00F46CB0">
      <w:pPr>
        <w:spacing w:before="120" w:after="120" w:line="240" w:lineRule="auto"/>
        <w:jc w:val="center"/>
        <w:rPr>
          <w:rFonts w:cstheme="minorHAnsi"/>
          <w:sz w:val="24"/>
          <w:szCs w:val="24"/>
        </w:rPr>
      </w:pPr>
      <w:r w:rsidRPr="00F46CB0">
        <w:rPr>
          <w:rFonts w:cstheme="minorHAnsi"/>
          <w:position w:val="-60"/>
          <w:sz w:val="24"/>
          <w:szCs w:val="24"/>
        </w:rPr>
        <w:object w:dxaOrig="2040" w:dyaOrig="1460" w14:anchorId="2668F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equals fraction numerator P left square bracket left parenthesis 1 plus fraction r over n right parenthesis to the power n t end power minus 1 right square bracket over denominator left parenthesis fraction r over n right parenthesis end fraction" style="width:102pt;height:72.9pt" o:ole="">
            <v:imagedata r:id="rId5" o:title=""/>
          </v:shape>
          <o:OLEObject Type="Embed" ProgID="Equation.DSMT4" ShapeID="_x0000_i1025" DrawAspect="Content" ObjectID="_1625910407" r:id="rId6"/>
        </w:object>
      </w:r>
      <w:r w:rsidR="00F46CB0">
        <w:rPr>
          <w:rFonts w:cstheme="minorHAnsi"/>
          <w:sz w:val="24"/>
          <w:szCs w:val="24"/>
        </w:rPr>
        <w:t xml:space="preserve"> .</w:t>
      </w:r>
    </w:p>
    <w:p w14:paraId="15475F5D" w14:textId="460C148C" w:rsidR="00F46CB0" w:rsidRDefault="00F46CB0" w:rsidP="00F46CB0">
      <w:pPr>
        <w:spacing w:after="0" w:line="240" w:lineRule="auto"/>
        <w:rPr>
          <w:rFonts w:cstheme="minorHAnsi"/>
          <w:bCs/>
          <w:sz w:val="24"/>
          <w:szCs w:val="24"/>
        </w:rPr>
      </w:pPr>
      <w:r w:rsidRPr="00F46CB0">
        <w:rPr>
          <w:rFonts w:cstheme="minorHAnsi"/>
          <w:bCs/>
          <w:sz w:val="24"/>
          <w:szCs w:val="24"/>
        </w:rPr>
        <w:t>If interest is compounded annually, then</w:t>
      </w:r>
      <w:r>
        <w:rPr>
          <w:rFonts w:cstheme="minorHAnsi"/>
          <w:bCs/>
          <w:sz w:val="24"/>
          <w:szCs w:val="24"/>
        </w:rPr>
        <w:t xml:space="preserve"> </w:t>
      </w:r>
      <w:r w:rsidR="006B1E4D" w:rsidRPr="00F46CB0">
        <w:rPr>
          <w:rFonts w:cstheme="minorHAnsi"/>
          <w:bCs/>
          <w:position w:val="-6"/>
          <w:sz w:val="24"/>
          <w:szCs w:val="24"/>
        </w:rPr>
        <w:object w:dxaOrig="520" w:dyaOrig="279" w14:anchorId="7ED327BE">
          <v:shape id="_x0000_i1026" type="#_x0000_t75" alt="n equals 1" style="width:26.1pt;height:14.1pt" o:ole="">
            <v:imagedata r:id="rId7" o:title=""/>
          </v:shape>
          <o:OLEObject Type="Embed" ProgID="Equation.DSMT4" ShapeID="_x0000_i1026" DrawAspect="Content" ObjectID="_1625910408" r:id="rId8"/>
        </w:object>
      </w:r>
      <w:r>
        <w:rPr>
          <w:rFonts w:cstheme="minorHAnsi"/>
          <w:bCs/>
          <w:sz w:val="24"/>
          <w:szCs w:val="24"/>
        </w:rPr>
        <w:t xml:space="preserve"> </w:t>
      </w:r>
      <w:r w:rsidRPr="00F46CB0">
        <w:rPr>
          <w:rFonts w:cstheme="minorHAnsi"/>
          <w:bCs/>
          <w:sz w:val="24"/>
          <w:szCs w:val="24"/>
        </w:rPr>
        <w:t>and the formula simplifies to</w:t>
      </w:r>
    </w:p>
    <w:p w14:paraId="7C6F2523" w14:textId="4A99EEAE" w:rsidR="00BE2EE7" w:rsidRPr="00F46CB0" w:rsidRDefault="006B1E4D" w:rsidP="00F46CB0">
      <w:pPr>
        <w:spacing w:before="120" w:after="120" w:line="240" w:lineRule="auto"/>
        <w:jc w:val="center"/>
        <w:rPr>
          <w:rFonts w:cstheme="minorHAnsi"/>
          <w:bCs/>
          <w:sz w:val="24"/>
          <w:szCs w:val="24"/>
        </w:rPr>
      </w:pPr>
      <w:r w:rsidRPr="00F46CB0">
        <w:rPr>
          <w:rFonts w:cstheme="minorHAnsi"/>
          <w:position w:val="-24"/>
          <w:sz w:val="24"/>
          <w:szCs w:val="24"/>
        </w:rPr>
        <w:object w:dxaOrig="1860" w:dyaOrig="800" w14:anchorId="1E3D8DAE">
          <v:shape id="_x0000_i1027" type="#_x0000_t75" alt="A equals fraction numerator P left square bracket left parenthesis 1 plus r right parenthesis to the power t end power minus 1 right square bracket over denominator r" style="width:93pt;height:39.9pt" o:ole="">
            <v:imagedata r:id="rId9" o:title=""/>
          </v:shape>
          <o:OLEObject Type="Embed" ProgID="Equation.DSMT4" ShapeID="_x0000_i1027" DrawAspect="Content" ObjectID="_1625910409" r:id="rId10"/>
        </w:object>
      </w:r>
      <w:r w:rsidR="00F46CB0">
        <w:rPr>
          <w:rFonts w:cstheme="minorHAnsi"/>
          <w:sz w:val="24"/>
          <w:szCs w:val="24"/>
        </w:rPr>
        <w:t>.</w:t>
      </w:r>
    </w:p>
    <w:p w14:paraId="13CB31B3" w14:textId="77777777" w:rsidR="009372CD" w:rsidRPr="00F46CB0" w:rsidRDefault="009372CD" w:rsidP="00616BA5">
      <w:pPr>
        <w:pStyle w:val="NoSpacing"/>
        <w:spacing w:after="5040"/>
        <w:rPr>
          <w:rFonts w:cstheme="minorHAnsi"/>
          <w:b/>
          <w:sz w:val="24"/>
          <w:szCs w:val="24"/>
        </w:rPr>
      </w:pPr>
    </w:p>
    <w:p w14:paraId="753E6C74" w14:textId="77777777" w:rsidR="00BE2EE7" w:rsidRPr="00F46CB0" w:rsidRDefault="009372CD" w:rsidP="00E33C3B">
      <w:pPr>
        <w:pStyle w:val="Heading1"/>
      </w:pPr>
      <w:r w:rsidRPr="00F46CB0">
        <w:t>Objective</w:t>
      </w:r>
      <w:r w:rsidR="000A08F8" w:rsidRPr="00F46CB0">
        <w:t xml:space="preserve"> 2:  </w:t>
      </w:r>
      <w:r w:rsidR="00BE2EE7" w:rsidRPr="00F46CB0">
        <w:t>Determine regular annuity payments needed to achieve a financial goal</w:t>
      </w:r>
    </w:p>
    <w:p w14:paraId="003BCF74" w14:textId="77777777" w:rsidR="00616BA5" w:rsidRDefault="00616BA5" w:rsidP="00F46CB0">
      <w:pPr>
        <w:pStyle w:val="NoSpacing"/>
        <w:rPr>
          <w:rFonts w:cstheme="minorHAnsi"/>
          <w:sz w:val="24"/>
          <w:szCs w:val="24"/>
        </w:rPr>
      </w:pPr>
    </w:p>
    <w:p w14:paraId="318E5FFC" w14:textId="7D60A8E2" w:rsidR="00616BA5" w:rsidRDefault="00BA4B81" w:rsidP="00F46CB0">
      <w:pPr>
        <w:pStyle w:val="NoSpacing"/>
        <w:rPr>
          <w:rFonts w:cstheme="minorHAnsi"/>
          <w:sz w:val="24"/>
          <w:szCs w:val="24"/>
        </w:rPr>
      </w:pPr>
      <w:r w:rsidRPr="00F46CB0">
        <w:rPr>
          <w:rFonts w:cstheme="minorHAnsi"/>
          <w:sz w:val="24"/>
          <w:szCs w:val="24"/>
        </w:rPr>
        <w:t>The annuity formula can be used to determine the investment required to meet a financial goal. Solve</w:t>
      </w:r>
      <w:r w:rsidR="00BE2EE7" w:rsidRPr="00F46CB0">
        <w:rPr>
          <w:rFonts w:cstheme="minorHAnsi"/>
          <w:sz w:val="24"/>
          <w:szCs w:val="24"/>
        </w:rPr>
        <w:t xml:space="preserve"> the annuity formula for </w:t>
      </w:r>
      <w:r w:rsidR="00BE2EE7" w:rsidRPr="00F46CB0">
        <w:rPr>
          <w:rFonts w:cstheme="minorHAnsi"/>
          <w:i/>
          <w:sz w:val="24"/>
          <w:szCs w:val="24"/>
        </w:rPr>
        <w:t>P</w:t>
      </w:r>
      <w:r w:rsidRPr="00F46CB0">
        <w:rPr>
          <w:rFonts w:cstheme="minorHAnsi"/>
          <w:sz w:val="24"/>
          <w:szCs w:val="24"/>
        </w:rPr>
        <w:t xml:space="preserve"> to determine </w:t>
      </w:r>
      <w:r w:rsidR="00BE2EE7" w:rsidRPr="00F46CB0">
        <w:rPr>
          <w:rFonts w:cstheme="minorHAnsi"/>
          <w:sz w:val="24"/>
          <w:szCs w:val="24"/>
        </w:rPr>
        <w:t xml:space="preserve">the amount of money that should be deposited at the end of each compounding period so that an annuity has a future value of </w:t>
      </w:r>
      <w:r w:rsidR="00BE2EE7" w:rsidRPr="00F46CB0">
        <w:rPr>
          <w:rFonts w:cstheme="minorHAnsi"/>
          <w:i/>
          <w:sz w:val="24"/>
          <w:szCs w:val="24"/>
        </w:rPr>
        <w:t>A</w:t>
      </w:r>
      <w:r w:rsidR="00BE2EE7" w:rsidRPr="00F46CB0">
        <w:rPr>
          <w:rFonts w:cstheme="minorHAnsi"/>
          <w:sz w:val="24"/>
          <w:szCs w:val="24"/>
        </w:rPr>
        <w:t xml:space="preserve"> dollars.</w:t>
      </w:r>
    </w:p>
    <w:p w14:paraId="1F69D28B" w14:textId="0C30FF6F" w:rsidR="00E33C3B" w:rsidRPr="00F46CB0" w:rsidRDefault="00E33C3B" w:rsidP="00616BA5">
      <w:pPr>
        <w:pStyle w:val="NoSpacing"/>
        <w:rPr>
          <w:rFonts w:cstheme="minorHAnsi"/>
          <w:b/>
          <w:sz w:val="24"/>
          <w:szCs w:val="24"/>
        </w:rPr>
      </w:pPr>
      <w:r w:rsidRPr="00F46CB0">
        <w:rPr>
          <w:rFonts w:cstheme="minorHAnsi"/>
          <w:b/>
          <w:sz w:val="24"/>
          <w:szCs w:val="24"/>
        </w:rPr>
        <w:lastRenderedPageBreak/>
        <w:t>REGULAR PAYMENTS NEEDED TO ACHIEVE A FINANCIAL GOAL</w:t>
      </w:r>
    </w:p>
    <w:p w14:paraId="39BED6B1" w14:textId="3356A525" w:rsidR="00E33C3B" w:rsidRDefault="00E33C3B" w:rsidP="00E33C3B">
      <w:pPr>
        <w:spacing w:after="0" w:line="240" w:lineRule="auto"/>
        <w:rPr>
          <w:rFonts w:cstheme="minorHAnsi"/>
          <w:sz w:val="24"/>
          <w:szCs w:val="24"/>
        </w:rPr>
      </w:pPr>
      <w:r w:rsidRPr="00F46CB0">
        <w:rPr>
          <w:rFonts w:cstheme="minorHAnsi"/>
          <w:sz w:val="24"/>
          <w:szCs w:val="24"/>
        </w:rPr>
        <w:t xml:space="preserve">The deposit that must be made at the end of each compounding period into an annuity that pays an annual interest rate </w:t>
      </w:r>
      <w:r w:rsidRPr="00F46CB0">
        <w:rPr>
          <w:rFonts w:cstheme="minorHAnsi"/>
          <w:i/>
          <w:sz w:val="24"/>
          <w:szCs w:val="24"/>
        </w:rPr>
        <w:t>r</w:t>
      </w:r>
      <w:r w:rsidRPr="00F46CB0">
        <w:rPr>
          <w:rFonts w:cstheme="minorHAnsi"/>
          <w:sz w:val="24"/>
          <w:szCs w:val="24"/>
        </w:rPr>
        <w:t xml:space="preserve"> compounded </w:t>
      </w:r>
      <w:r w:rsidRPr="00F46CB0">
        <w:rPr>
          <w:rFonts w:cstheme="minorHAnsi"/>
          <w:i/>
          <w:sz w:val="24"/>
          <w:szCs w:val="24"/>
        </w:rPr>
        <w:t>n</w:t>
      </w:r>
      <w:r w:rsidRPr="00F46CB0">
        <w:rPr>
          <w:rFonts w:cstheme="minorHAnsi"/>
          <w:sz w:val="24"/>
          <w:szCs w:val="24"/>
        </w:rPr>
        <w:t xml:space="preserve"> times per year in order to achieve a value of </w:t>
      </w:r>
      <w:r w:rsidRPr="00F46CB0">
        <w:rPr>
          <w:rFonts w:cstheme="minorHAnsi"/>
          <w:i/>
          <w:sz w:val="24"/>
          <w:szCs w:val="24"/>
        </w:rPr>
        <w:t>A</w:t>
      </w:r>
      <w:r w:rsidRPr="00F46CB0">
        <w:rPr>
          <w:rFonts w:cstheme="minorHAnsi"/>
          <w:sz w:val="24"/>
          <w:szCs w:val="24"/>
        </w:rPr>
        <w:t xml:space="preserve"> dollars after </w:t>
      </w:r>
      <w:r w:rsidRPr="00E463B3">
        <w:rPr>
          <w:rFonts w:cstheme="minorHAnsi"/>
          <w:i/>
          <w:iCs/>
          <w:sz w:val="24"/>
          <w:szCs w:val="24"/>
        </w:rPr>
        <w:t>t</w:t>
      </w:r>
      <w:r w:rsidRPr="00F46CB0">
        <w:rPr>
          <w:rFonts w:cstheme="minorHAnsi"/>
          <w:sz w:val="24"/>
          <w:szCs w:val="24"/>
        </w:rPr>
        <w:t xml:space="preserve"> years is</w:t>
      </w:r>
    </w:p>
    <w:p w14:paraId="6275AEB2" w14:textId="3957EDCD" w:rsidR="00B82D4E" w:rsidRPr="0023262C" w:rsidRDefault="006B1E4D" w:rsidP="0023262C">
      <w:pPr>
        <w:spacing w:before="120" w:after="0" w:line="240" w:lineRule="auto"/>
        <w:jc w:val="center"/>
        <w:rPr>
          <w:rFonts w:cstheme="minorHAnsi"/>
          <w:sz w:val="24"/>
          <w:szCs w:val="24"/>
        </w:rPr>
      </w:pPr>
      <w:r w:rsidRPr="0023262C">
        <w:rPr>
          <w:rFonts w:cstheme="minorHAnsi"/>
          <w:position w:val="-74"/>
          <w:sz w:val="24"/>
          <w:szCs w:val="24"/>
        </w:rPr>
        <w:object w:dxaOrig="1840" w:dyaOrig="1460" w14:anchorId="20E0924F">
          <v:shape id="_x0000_i1028" type="#_x0000_t75" alt="P equals fraction numerator A left parenthesis fraction r over n right parenthesis over denominator left square bracket left parenthesis 1 plus fraction r over n right parenthesis to the power n t end power minus 1 right square bracket end fraction" style="width:92.1pt;height:72.9pt" o:ole="">
            <v:imagedata r:id="rId11" o:title=""/>
          </v:shape>
          <o:OLEObject Type="Embed" ProgID="Equation.DSMT4" ShapeID="_x0000_i1028" DrawAspect="Content" ObjectID="_1625910410" r:id="rId12"/>
        </w:object>
      </w:r>
      <w:r w:rsidR="0023262C">
        <w:rPr>
          <w:rFonts w:cstheme="minorHAnsi"/>
          <w:sz w:val="24"/>
          <w:szCs w:val="24"/>
        </w:rPr>
        <w:t xml:space="preserve"> .</w:t>
      </w:r>
    </w:p>
    <w:p w14:paraId="55889CBB" w14:textId="77777777" w:rsidR="009372CD" w:rsidRPr="00F46CB0" w:rsidRDefault="009372CD" w:rsidP="00616BA5">
      <w:pPr>
        <w:pStyle w:val="NoSpacing"/>
        <w:spacing w:after="7440"/>
        <w:rPr>
          <w:rFonts w:cstheme="minorHAnsi"/>
          <w:b/>
          <w:sz w:val="24"/>
          <w:szCs w:val="24"/>
        </w:rPr>
      </w:pPr>
    </w:p>
    <w:p w14:paraId="74F18EB1" w14:textId="77777777" w:rsidR="00BE2EE7" w:rsidRPr="00F46CB0" w:rsidRDefault="009372CD" w:rsidP="0023262C">
      <w:pPr>
        <w:pStyle w:val="Heading1"/>
      </w:pPr>
      <w:r w:rsidRPr="00F46CB0">
        <w:t>Objective</w:t>
      </w:r>
      <w:r w:rsidR="00FA393A" w:rsidRPr="00F46CB0">
        <w:t xml:space="preserve"> 3:  </w:t>
      </w:r>
      <w:r w:rsidR="00BE2EE7" w:rsidRPr="00F46CB0">
        <w:t>Understand stocks and bonds as investments</w:t>
      </w:r>
    </w:p>
    <w:p w14:paraId="1A9B4F2B" w14:textId="77777777" w:rsidR="00616BA5" w:rsidRDefault="00616BA5" w:rsidP="00F46CB0">
      <w:pPr>
        <w:pStyle w:val="NoSpacing"/>
        <w:rPr>
          <w:rFonts w:cstheme="minorHAnsi"/>
          <w:sz w:val="24"/>
          <w:szCs w:val="24"/>
        </w:rPr>
      </w:pPr>
    </w:p>
    <w:p w14:paraId="71FC178E" w14:textId="01685541" w:rsidR="009372CD" w:rsidRPr="00F46CB0" w:rsidRDefault="00373D91" w:rsidP="00F46CB0">
      <w:pPr>
        <w:pStyle w:val="NoSpacing"/>
        <w:rPr>
          <w:rFonts w:cstheme="minorHAnsi"/>
          <w:sz w:val="24"/>
          <w:szCs w:val="24"/>
        </w:rPr>
      </w:pPr>
      <w:r w:rsidRPr="00F46CB0">
        <w:rPr>
          <w:rFonts w:cstheme="minorHAnsi"/>
          <w:sz w:val="24"/>
          <w:szCs w:val="24"/>
        </w:rPr>
        <w:t>Bank</w:t>
      </w:r>
      <w:r w:rsidRPr="00F46CB0">
        <w:rPr>
          <w:rFonts w:cstheme="minorHAnsi"/>
          <w:b/>
          <w:bCs/>
          <w:sz w:val="24"/>
          <w:szCs w:val="24"/>
        </w:rPr>
        <w:t xml:space="preserve"> </w:t>
      </w:r>
      <w:r w:rsidRPr="00F46CB0">
        <w:rPr>
          <w:rFonts w:cstheme="minorHAnsi"/>
          <w:sz w:val="24"/>
          <w:szCs w:val="24"/>
        </w:rPr>
        <w:t xml:space="preserve">deposits are low risk </w:t>
      </w:r>
      <w:r w:rsidRPr="00F46CB0">
        <w:rPr>
          <w:rFonts w:cstheme="minorHAnsi"/>
          <w:b/>
          <w:bCs/>
          <w:sz w:val="24"/>
          <w:szCs w:val="24"/>
        </w:rPr>
        <w:t>cash investments</w:t>
      </w:r>
      <w:r w:rsidRPr="00F46CB0">
        <w:rPr>
          <w:rFonts w:cstheme="minorHAnsi"/>
          <w:sz w:val="24"/>
          <w:szCs w:val="24"/>
        </w:rPr>
        <w:t>.  The account value up to $250,000 is in</w:t>
      </w:r>
      <w:r w:rsidR="000C0B5F" w:rsidRPr="00F46CB0">
        <w:rPr>
          <w:rFonts w:cstheme="minorHAnsi"/>
          <w:sz w:val="24"/>
          <w:szCs w:val="24"/>
        </w:rPr>
        <w:t>sured by the federal government</w:t>
      </w:r>
      <w:r w:rsidRPr="00F46CB0">
        <w:rPr>
          <w:rFonts w:cstheme="minorHAnsi"/>
          <w:sz w:val="24"/>
          <w:szCs w:val="24"/>
        </w:rPr>
        <w:t xml:space="preserve"> and the bank </w:t>
      </w:r>
      <w:r w:rsidR="009C0C8A" w:rsidRPr="00F46CB0">
        <w:rPr>
          <w:rFonts w:cstheme="minorHAnsi"/>
          <w:sz w:val="24"/>
          <w:szCs w:val="24"/>
        </w:rPr>
        <w:t xml:space="preserve">pays a published interest rate </w:t>
      </w:r>
      <w:r w:rsidRPr="00F46CB0">
        <w:rPr>
          <w:rFonts w:cstheme="minorHAnsi"/>
          <w:sz w:val="24"/>
          <w:szCs w:val="24"/>
        </w:rPr>
        <w:t xml:space="preserve">which guarantees a </w:t>
      </w:r>
      <w:r w:rsidRPr="00F46CB0">
        <w:rPr>
          <w:rFonts w:cstheme="minorHAnsi"/>
          <w:b/>
          <w:bCs/>
          <w:sz w:val="24"/>
          <w:szCs w:val="24"/>
        </w:rPr>
        <w:t xml:space="preserve">return </w:t>
      </w:r>
      <w:r w:rsidRPr="00F46CB0">
        <w:rPr>
          <w:rFonts w:cstheme="minorHAnsi"/>
          <w:sz w:val="24"/>
          <w:szCs w:val="24"/>
        </w:rPr>
        <w:t xml:space="preserve">on the investment.  </w:t>
      </w:r>
      <w:r w:rsidR="003A013A" w:rsidRPr="00F46CB0">
        <w:rPr>
          <w:rFonts w:cstheme="minorHAnsi"/>
          <w:sz w:val="24"/>
          <w:szCs w:val="24"/>
        </w:rPr>
        <w:t>Investments such as stocks and</w:t>
      </w:r>
      <w:r w:rsidR="00C51DCF" w:rsidRPr="00F46CB0">
        <w:rPr>
          <w:rFonts w:cstheme="minorHAnsi"/>
          <w:sz w:val="24"/>
          <w:szCs w:val="24"/>
        </w:rPr>
        <w:t xml:space="preserve"> bonds may have higher returns </w:t>
      </w:r>
      <w:r w:rsidR="003A013A" w:rsidRPr="00F46CB0">
        <w:rPr>
          <w:rFonts w:cstheme="minorHAnsi"/>
          <w:sz w:val="24"/>
          <w:szCs w:val="24"/>
        </w:rPr>
        <w:t>but they are also riskier.</w:t>
      </w:r>
      <w:r w:rsidR="00BA4B81" w:rsidRPr="00F46CB0">
        <w:rPr>
          <w:rFonts w:cstheme="minorHAnsi"/>
          <w:sz w:val="24"/>
          <w:szCs w:val="24"/>
        </w:rPr>
        <w:t xml:space="preserve">  </w:t>
      </w:r>
      <w:r w:rsidR="00BA4B81" w:rsidRPr="00F46CB0">
        <w:rPr>
          <w:rFonts w:cstheme="minorHAnsi"/>
          <w:b/>
          <w:bCs/>
          <w:sz w:val="24"/>
          <w:szCs w:val="24"/>
        </w:rPr>
        <w:t xml:space="preserve">Risk </w:t>
      </w:r>
      <w:r w:rsidR="00BA4B81" w:rsidRPr="00F46CB0">
        <w:rPr>
          <w:rFonts w:cstheme="minorHAnsi"/>
          <w:sz w:val="24"/>
          <w:szCs w:val="24"/>
        </w:rPr>
        <w:t xml:space="preserve">is the chance that the principal will decrease or be lost.  </w:t>
      </w:r>
      <w:r w:rsidR="00BA4B81" w:rsidRPr="00F46CB0">
        <w:rPr>
          <w:rFonts w:cstheme="minorHAnsi"/>
          <w:b/>
          <w:bCs/>
          <w:sz w:val="24"/>
          <w:szCs w:val="24"/>
        </w:rPr>
        <w:t>Return</w:t>
      </w:r>
      <w:r w:rsidR="00BA4B81" w:rsidRPr="00F46CB0">
        <w:rPr>
          <w:rFonts w:cstheme="minorHAnsi"/>
          <w:sz w:val="24"/>
          <w:szCs w:val="24"/>
        </w:rPr>
        <w:t xml:space="preserve"> is the interest, dividend, or increased</w:t>
      </w:r>
      <w:r w:rsidR="00AD67EA" w:rsidRPr="00F46CB0">
        <w:rPr>
          <w:rFonts w:cstheme="minorHAnsi"/>
          <w:sz w:val="24"/>
          <w:szCs w:val="24"/>
        </w:rPr>
        <w:t xml:space="preserve"> value earned on the investment and is usually expressed as a percent of the starting value.</w:t>
      </w:r>
    </w:p>
    <w:p w14:paraId="2067E1D1" w14:textId="77777777" w:rsidR="0023262C" w:rsidRPr="00F46CB0" w:rsidRDefault="0023262C" w:rsidP="0023262C">
      <w:pPr>
        <w:spacing w:after="0" w:line="240" w:lineRule="auto"/>
        <w:rPr>
          <w:rFonts w:cstheme="minorHAnsi"/>
          <w:b/>
          <w:bCs/>
          <w:sz w:val="24"/>
          <w:szCs w:val="24"/>
        </w:rPr>
      </w:pPr>
      <w:r w:rsidRPr="00F46CB0">
        <w:rPr>
          <w:rFonts w:cstheme="minorHAnsi"/>
          <w:b/>
          <w:bCs/>
          <w:sz w:val="24"/>
          <w:szCs w:val="24"/>
        </w:rPr>
        <w:lastRenderedPageBreak/>
        <w:t>STOCKS AND BONDS VOCABULARY</w:t>
      </w:r>
    </w:p>
    <w:p w14:paraId="4C4ED1C3" w14:textId="77777777" w:rsidR="0023262C" w:rsidRPr="00F46CB0" w:rsidRDefault="0023262C" w:rsidP="0023262C">
      <w:pPr>
        <w:spacing w:after="0" w:line="240" w:lineRule="auto"/>
        <w:rPr>
          <w:rFonts w:cstheme="minorHAnsi"/>
          <w:sz w:val="24"/>
          <w:szCs w:val="24"/>
        </w:rPr>
      </w:pPr>
      <w:r w:rsidRPr="00F46CB0">
        <w:rPr>
          <w:rFonts w:cstheme="minorHAnsi"/>
          <w:b/>
          <w:bCs/>
          <w:sz w:val="24"/>
          <w:szCs w:val="24"/>
        </w:rPr>
        <w:t xml:space="preserve">Stock – </w:t>
      </w:r>
      <w:r w:rsidRPr="00F46CB0">
        <w:rPr>
          <w:rFonts w:cstheme="minorHAnsi"/>
          <w:sz w:val="24"/>
          <w:szCs w:val="24"/>
        </w:rPr>
        <w:t xml:space="preserve">A share of ownership in the company sold to an investor.  The selling price fluctuates with supply and demand.   Selling a stock that has gone up (down) in value results in a </w:t>
      </w:r>
      <w:r w:rsidRPr="00F46CB0">
        <w:rPr>
          <w:rFonts w:cstheme="minorHAnsi"/>
          <w:b/>
          <w:bCs/>
          <w:sz w:val="24"/>
          <w:szCs w:val="24"/>
        </w:rPr>
        <w:t xml:space="preserve">capital gain (loss) </w:t>
      </w:r>
      <w:r w:rsidRPr="00F46CB0">
        <w:rPr>
          <w:rFonts w:cstheme="minorHAnsi"/>
          <w:sz w:val="24"/>
          <w:szCs w:val="24"/>
        </w:rPr>
        <w:t xml:space="preserve">for the </w:t>
      </w:r>
      <w:r w:rsidRPr="00F46CB0">
        <w:rPr>
          <w:rFonts w:cstheme="minorHAnsi"/>
          <w:b/>
          <w:bCs/>
          <w:sz w:val="24"/>
          <w:szCs w:val="24"/>
        </w:rPr>
        <w:t>shareholder</w:t>
      </w:r>
      <w:r w:rsidRPr="00F46CB0">
        <w:rPr>
          <w:rFonts w:cstheme="minorHAnsi"/>
          <w:sz w:val="24"/>
          <w:szCs w:val="24"/>
        </w:rPr>
        <w:t xml:space="preserve">.  Shareholders also make money when the company pays a per-share </w:t>
      </w:r>
      <w:r w:rsidRPr="00F46CB0">
        <w:rPr>
          <w:rFonts w:cstheme="minorHAnsi"/>
          <w:b/>
          <w:bCs/>
          <w:sz w:val="24"/>
          <w:szCs w:val="24"/>
        </w:rPr>
        <w:t>dividend</w:t>
      </w:r>
      <w:r w:rsidRPr="00F46CB0">
        <w:rPr>
          <w:rFonts w:cstheme="minorHAnsi"/>
          <w:sz w:val="24"/>
          <w:szCs w:val="24"/>
        </w:rPr>
        <w:t>, or portion of company profits.</w:t>
      </w:r>
    </w:p>
    <w:p w14:paraId="06D20095" w14:textId="1BEF262F" w:rsidR="0023262C" w:rsidRPr="00F46CB0" w:rsidRDefault="0023262C" w:rsidP="0023262C">
      <w:pPr>
        <w:spacing w:after="0" w:line="240" w:lineRule="auto"/>
        <w:rPr>
          <w:rFonts w:cstheme="minorHAnsi"/>
          <w:sz w:val="24"/>
          <w:szCs w:val="24"/>
        </w:rPr>
      </w:pPr>
      <w:r w:rsidRPr="00F46CB0">
        <w:rPr>
          <w:rFonts w:cstheme="minorHAnsi"/>
          <w:b/>
          <w:bCs/>
          <w:sz w:val="24"/>
          <w:szCs w:val="24"/>
        </w:rPr>
        <w:t xml:space="preserve">Bond – </w:t>
      </w:r>
      <w:r w:rsidRPr="00F46CB0">
        <w:rPr>
          <w:rFonts w:cstheme="minorHAnsi"/>
          <w:sz w:val="24"/>
          <w:szCs w:val="24"/>
        </w:rPr>
        <w:t xml:space="preserve">A loan to a company (or government entity) made by an investor.  The initial price is the </w:t>
      </w:r>
      <w:r w:rsidRPr="00F46CB0">
        <w:rPr>
          <w:rFonts w:cstheme="minorHAnsi"/>
          <w:b/>
          <w:bCs/>
          <w:sz w:val="24"/>
          <w:szCs w:val="24"/>
        </w:rPr>
        <w:t>face value</w:t>
      </w:r>
      <w:r w:rsidRPr="00F46CB0">
        <w:rPr>
          <w:rFonts w:cstheme="minorHAnsi"/>
          <w:sz w:val="24"/>
          <w:szCs w:val="24"/>
        </w:rPr>
        <w:t xml:space="preserve"> of the bond which will be paid back with interest.  Like stocks, bonds can be traded or sold among investors and may vary in </w:t>
      </w:r>
      <w:r w:rsidRPr="00F46CB0">
        <w:rPr>
          <w:rFonts w:cstheme="minorHAnsi"/>
          <w:b/>
          <w:bCs/>
          <w:sz w:val="24"/>
          <w:szCs w:val="24"/>
        </w:rPr>
        <w:t>value</w:t>
      </w:r>
      <w:r w:rsidRPr="00F46CB0">
        <w:rPr>
          <w:rFonts w:cstheme="minorHAnsi"/>
          <w:sz w:val="24"/>
          <w:szCs w:val="24"/>
        </w:rPr>
        <w:t>.  Therefore</w:t>
      </w:r>
      <w:r>
        <w:rPr>
          <w:rFonts w:cstheme="minorHAnsi"/>
          <w:sz w:val="24"/>
          <w:szCs w:val="24"/>
        </w:rPr>
        <w:t>,</w:t>
      </w:r>
      <w:r w:rsidRPr="00F46CB0">
        <w:rPr>
          <w:rFonts w:cstheme="minorHAnsi"/>
          <w:sz w:val="24"/>
          <w:szCs w:val="24"/>
        </w:rPr>
        <w:t xml:space="preserve"> there is a risk that is less than that of stocks, but greater than that of bank deposits.</w:t>
      </w:r>
    </w:p>
    <w:p w14:paraId="144B1B6D" w14:textId="0E98B92F" w:rsidR="0023262C" w:rsidRDefault="0023262C" w:rsidP="0023262C">
      <w:pPr>
        <w:pStyle w:val="NoSpacing"/>
        <w:rPr>
          <w:rFonts w:cstheme="minorHAnsi"/>
          <w:sz w:val="24"/>
          <w:szCs w:val="24"/>
        </w:rPr>
      </w:pPr>
      <w:r w:rsidRPr="00F46CB0">
        <w:rPr>
          <w:rFonts w:cstheme="minorHAnsi"/>
          <w:b/>
          <w:bCs/>
          <w:sz w:val="24"/>
          <w:szCs w:val="24"/>
        </w:rPr>
        <w:t xml:space="preserve">Mutual Fund – </w:t>
      </w:r>
      <w:r w:rsidRPr="00F46CB0">
        <w:rPr>
          <w:rFonts w:cstheme="minorHAnsi"/>
          <w:sz w:val="24"/>
          <w:szCs w:val="24"/>
        </w:rPr>
        <w:t xml:space="preserve">A collection of stocks and bonds managed by a </w:t>
      </w:r>
      <w:r w:rsidRPr="00F46CB0">
        <w:rPr>
          <w:rFonts w:cstheme="minorHAnsi"/>
          <w:b/>
          <w:bCs/>
          <w:sz w:val="24"/>
          <w:szCs w:val="24"/>
        </w:rPr>
        <w:t>fund manager</w:t>
      </w:r>
      <w:r w:rsidRPr="00F46CB0">
        <w:rPr>
          <w:rFonts w:cstheme="minorHAnsi"/>
          <w:sz w:val="24"/>
          <w:szCs w:val="24"/>
        </w:rPr>
        <w:t xml:space="preserve">.  Purchasing shares of a mutual fund allows the investor to own an assortment of higher and lower risk investments, a </w:t>
      </w:r>
      <w:r w:rsidRPr="00F46CB0">
        <w:rPr>
          <w:rFonts w:cstheme="minorHAnsi"/>
          <w:b/>
          <w:bCs/>
          <w:sz w:val="24"/>
          <w:szCs w:val="24"/>
        </w:rPr>
        <w:t>diversified portfolio</w:t>
      </w:r>
      <w:r w:rsidRPr="00F46CB0">
        <w:rPr>
          <w:rFonts w:cstheme="minorHAnsi"/>
          <w:sz w:val="24"/>
          <w:szCs w:val="24"/>
        </w:rPr>
        <w:t>, without having to keep track of them individually.</w:t>
      </w:r>
    </w:p>
    <w:p w14:paraId="1404EC6F" w14:textId="77777777" w:rsidR="0023262C" w:rsidRPr="00F46CB0" w:rsidRDefault="0023262C" w:rsidP="0023755E">
      <w:pPr>
        <w:pStyle w:val="NoSpacing"/>
        <w:spacing w:after="600"/>
        <w:rPr>
          <w:rFonts w:cstheme="minorHAnsi"/>
          <w:b/>
          <w:sz w:val="24"/>
          <w:szCs w:val="24"/>
        </w:rPr>
      </w:pPr>
    </w:p>
    <w:p w14:paraId="59FB98A4" w14:textId="77777777" w:rsidR="00BE2EE7" w:rsidRPr="00F46CB0" w:rsidRDefault="009372CD" w:rsidP="0023262C">
      <w:pPr>
        <w:pStyle w:val="Heading1"/>
      </w:pPr>
      <w:r w:rsidRPr="00F46CB0">
        <w:t>Objective</w:t>
      </w:r>
      <w:r w:rsidR="00FA393A" w:rsidRPr="00F46CB0">
        <w:t xml:space="preserve"> 4:  </w:t>
      </w:r>
      <w:r w:rsidR="00BE2EE7" w:rsidRPr="00F46CB0">
        <w:t>Read stock tables</w:t>
      </w:r>
    </w:p>
    <w:p w14:paraId="4AD1E5B3" w14:textId="77777777" w:rsidR="00616BA5" w:rsidRDefault="00616BA5" w:rsidP="00F46CB0">
      <w:pPr>
        <w:pStyle w:val="NoSpacing"/>
        <w:rPr>
          <w:rFonts w:cstheme="minorHAnsi"/>
          <w:sz w:val="24"/>
          <w:szCs w:val="24"/>
        </w:rPr>
      </w:pPr>
    </w:p>
    <w:p w14:paraId="241BBAA0" w14:textId="5338F312" w:rsidR="009372CD" w:rsidRDefault="00BE2EE7" w:rsidP="00F46CB0">
      <w:pPr>
        <w:pStyle w:val="NoSpacing"/>
        <w:rPr>
          <w:rFonts w:cstheme="minorHAnsi"/>
          <w:sz w:val="24"/>
          <w:szCs w:val="24"/>
        </w:rPr>
      </w:pPr>
      <w:r w:rsidRPr="00F46CB0">
        <w:rPr>
          <w:rFonts w:cstheme="minorHAnsi"/>
          <w:sz w:val="24"/>
          <w:szCs w:val="24"/>
        </w:rPr>
        <w:t xml:space="preserve">Daily newspapers and online services give current stock prices and other information about stocks. </w:t>
      </w:r>
      <w:r w:rsidR="00295BCD" w:rsidRPr="00F46CB0">
        <w:rPr>
          <w:rFonts w:cstheme="minorHAnsi"/>
          <w:sz w:val="24"/>
          <w:szCs w:val="24"/>
        </w:rPr>
        <w:t>The sample below is a listing for Federal Express, represented by the symbol FDX</w:t>
      </w:r>
      <w:r w:rsidRPr="00F46CB0">
        <w:rPr>
          <w:rFonts w:cstheme="minorHAnsi"/>
          <w:sz w:val="24"/>
          <w:szCs w:val="24"/>
        </w:rPr>
        <w:t>.</w:t>
      </w:r>
    </w:p>
    <w:p w14:paraId="77E9514D" w14:textId="4CE0E4E4" w:rsidR="00FB0AAE" w:rsidRDefault="00FB0AAE" w:rsidP="00F46CB0">
      <w:pPr>
        <w:pStyle w:val="NoSpacing"/>
        <w:rPr>
          <w:rFonts w:cstheme="minorHAnsi"/>
          <w:sz w:val="24"/>
          <w:szCs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Description w:val="This sample stock table is best read in columns from left to right.  The first cell in the column describes the number in the second cell in the column."/>
      </w:tblPr>
      <w:tblGrid>
        <w:gridCol w:w="1165"/>
        <w:gridCol w:w="1170"/>
        <w:gridCol w:w="810"/>
        <w:gridCol w:w="720"/>
        <w:gridCol w:w="630"/>
        <w:gridCol w:w="540"/>
        <w:gridCol w:w="540"/>
        <w:gridCol w:w="900"/>
        <w:gridCol w:w="536"/>
        <w:gridCol w:w="814"/>
        <w:gridCol w:w="810"/>
        <w:gridCol w:w="715"/>
      </w:tblGrid>
      <w:tr w:rsidR="00FB0AAE" w14:paraId="169F3631" w14:textId="77777777" w:rsidTr="00671F0F">
        <w:trPr>
          <w:cantSplit/>
          <w:tblHeader/>
        </w:trPr>
        <w:tc>
          <w:tcPr>
            <w:tcW w:w="1165" w:type="dxa"/>
          </w:tcPr>
          <w:p w14:paraId="4F906325" w14:textId="0D1E47AB" w:rsidR="00FB0AAE" w:rsidRPr="0023755E" w:rsidRDefault="00FB0AAE" w:rsidP="0023755E">
            <w:pPr>
              <w:pStyle w:val="NoSpacing"/>
              <w:jc w:val="center"/>
              <w:rPr>
                <w:rFonts w:cstheme="minorHAnsi"/>
                <w:b/>
                <w:bCs/>
                <w:sz w:val="24"/>
                <w:szCs w:val="24"/>
              </w:rPr>
            </w:pPr>
            <w:r w:rsidRPr="0023755E">
              <w:rPr>
                <w:rFonts w:cstheme="minorHAnsi"/>
                <w:b/>
                <w:bCs/>
                <w:sz w:val="24"/>
                <w:szCs w:val="24"/>
              </w:rPr>
              <w:t>52- Week High</w:t>
            </w:r>
          </w:p>
        </w:tc>
        <w:tc>
          <w:tcPr>
            <w:tcW w:w="1170" w:type="dxa"/>
          </w:tcPr>
          <w:p w14:paraId="71385828" w14:textId="4F74C4E8" w:rsidR="00FB0AAE" w:rsidRPr="0023755E" w:rsidRDefault="00FB0AAE" w:rsidP="0023755E">
            <w:pPr>
              <w:pStyle w:val="NoSpacing"/>
              <w:jc w:val="center"/>
              <w:rPr>
                <w:rFonts w:cstheme="minorHAnsi"/>
                <w:b/>
                <w:bCs/>
                <w:sz w:val="24"/>
                <w:szCs w:val="24"/>
              </w:rPr>
            </w:pPr>
            <w:r w:rsidRPr="0023755E">
              <w:rPr>
                <w:rFonts w:cstheme="minorHAnsi"/>
                <w:b/>
                <w:bCs/>
                <w:sz w:val="24"/>
                <w:szCs w:val="24"/>
              </w:rPr>
              <w:t>52-Week Low</w:t>
            </w:r>
          </w:p>
        </w:tc>
        <w:tc>
          <w:tcPr>
            <w:tcW w:w="810" w:type="dxa"/>
          </w:tcPr>
          <w:p w14:paraId="199AEEF2" w14:textId="04865B7B" w:rsidR="00FB0AAE" w:rsidRPr="0023755E" w:rsidRDefault="00FB0AAE" w:rsidP="0023755E">
            <w:pPr>
              <w:pStyle w:val="NoSpacing"/>
              <w:jc w:val="center"/>
              <w:rPr>
                <w:rFonts w:cstheme="minorHAnsi"/>
                <w:b/>
                <w:bCs/>
                <w:sz w:val="24"/>
                <w:szCs w:val="24"/>
              </w:rPr>
            </w:pPr>
            <w:r w:rsidRPr="0023755E">
              <w:rPr>
                <w:rFonts w:cstheme="minorHAnsi"/>
                <w:b/>
                <w:bCs/>
                <w:sz w:val="24"/>
                <w:szCs w:val="24"/>
              </w:rPr>
              <w:t>Stock</w:t>
            </w:r>
          </w:p>
        </w:tc>
        <w:tc>
          <w:tcPr>
            <w:tcW w:w="720" w:type="dxa"/>
          </w:tcPr>
          <w:p w14:paraId="67CD697E" w14:textId="24549FA7" w:rsidR="00FB0AAE" w:rsidRPr="0023755E" w:rsidRDefault="00FB0AAE" w:rsidP="0023755E">
            <w:pPr>
              <w:pStyle w:val="NoSpacing"/>
              <w:jc w:val="center"/>
              <w:rPr>
                <w:rFonts w:cstheme="minorHAnsi"/>
                <w:b/>
                <w:bCs/>
                <w:sz w:val="24"/>
                <w:szCs w:val="24"/>
              </w:rPr>
            </w:pPr>
            <w:r w:rsidRPr="0023755E">
              <w:rPr>
                <w:rFonts w:cstheme="minorHAnsi"/>
                <w:b/>
                <w:bCs/>
                <w:sz w:val="24"/>
                <w:szCs w:val="24"/>
              </w:rPr>
              <w:t>SYM</w:t>
            </w:r>
          </w:p>
        </w:tc>
        <w:tc>
          <w:tcPr>
            <w:tcW w:w="630" w:type="dxa"/>
          </w:tcPr>
          <w:p w14:paraId="4E54EDB9" w14:textId="2D81E115" w:rsidR="00FB0AAE" w:rsidRPr="0023755E" w:rsidRDefault="00FB0AAE" w:rsidP="0023755E">
            <w:pPr>
              <w:pStyle w:val="NoSpacing"/>
              <w:jc w:val="center"/>
              <w:rPr>
                <w:rFonts w:cstheme="minorHAnsi"/>
                <w:b/>
                <w:bCs/>
                <w:sz w:val="24"/>
                <w:szCs w:val="24"/>
              </w:rPr>
            </w:pPr>
            <w:proofErr w:type="spellStart"/>
            <w:r w:rsidRPr="0023755E">
              <w:rPr>
                <w:rFonts w:cstheme="minorHAnsi"/>
                <w:b/>
                <w:bCs/>
                <w:sz w:val="24"/>
                <w:szCs w:val="24"/>
              </w:rPr>
              <w:t>Div</w:t>
            </w:r>
            <w:proofErr w:type="spellEnd"/>
          </w:p>
        </w:tc>
        <w:tc>
          <w:tcPr>
            <w:tcW w:w="540" w:type="dxa"/>
          </w:tcPr>
          <w:p w14:paraId="2B30C214" w14:textId="5827B4A5" w:rsidR="00FB0AAE" w:rsidRPr="0023755E" w:rsidRDefault="00FB0AAE" w:rsidP="0023755E">
            <w:pPr>
              <w:pStyle w:val="NoSpacing"/>
              <w:jc w:val="center"/>
              <w:rPr>
                <w:rFonts w:cstheme="minorHAnsi"/>
                <w:b/>
                <w:bCs/>
                <w:sz w:val="24"/>
                <w:szCs w:val="24"/>
              </w:rPr>
            </w:pPr>
            <w:proofErr w:type="spellStart"/>
            <w:r w:rsidRPr="0023755E">
              <w:rPr>
                <w:rFonts w:cstheme="minorHAnsi"/>
                <w:b/>
                <w:bCs/>
                <w:sz w:val="24"/>
                <w:szCs w:val="24"/>
              </w:rPr>
              <w:t>Yld</w:t>
            </w:r>
            <w:proofErr w:type="spellEnd"/>
            <w:r w:rsidRPr="0023755E">
              <w:rPr>
                <w:rFonts w:cstheme="minorHAnsi"/>
                <w:b/>
                <w:bCs/>
                <w:sz w:val="24"/>
                <w:szCs w:val="24"/>
              </w:rPr>
              <w:t xml:space="preserve"> %</w:t>
            </w:r>
          </w:p>
        </w:tc>
        <w:tc>
          <w:tcPr>
            <w:tcW w:w="540" w:type="dxa"/>
          </w:tcPr>
          <w:p w14:paraId="08923403" w14:textId="745C2C1A" w:rsidR="00FB0AAE" w:rsidRPr="0023755E" w:rsidRDefault="00FB0AAE" w:rsidP="0023755E">
            <w:pPr>
              <w:pStyle w:val="NoSpacing"/>
              <w:jc w:val="center"/>
              <w:rPr>
                <w:rFonts w:cstheme="minorHAnsi"/>
                <w:b/>
                <w:bCs/>
                <w:sz w:val="24"/>
                <w:szCs w:val="24"/>
              </w:rPr>
            </w:pPr>
            <w:r w:rsidRPr="0023755E">
              <w:rPr>
                <w:rFonts w:cstheme="minorHAnsi"/>
                <w:b/>
                <w:bCs/>
                <w:sz w:val="24"/>
                <w:szCs w:val="24"/>
              </w:rPr>
              <w:t>PE</w:t>
            </w:r>
          </w:p>
        </w:tc>
        <w:tc>
          <w:tcPr>
            <w:tcW w:w="900" w:type="dxa"/>
          </w:tcPr>
          <w:p w14:paraId="249897F8" w14:textId="77777777" w:rsidR="00FB0AAE" w:rsidRPr="0023755E" w:rsidRDefault="00FB0AAE" w:rsidP="0023755E">
            <w:pPr>
              <w:pStyle w:val="NoSpacing"/>
              <w:jc w:val="center"/>
              <w:rPr>
                <w:rFonts w:cstheme="minorHAnsi"/>
                <w:b/>
                <w:bCs/>
                <w:sz w:val="24"/>
                <w:szCs w:val="24"/>
              </w:rPr>
            </w:pPr>
            <w:r w:rsidRPr="0023755E">
              <w:rPr>
                <w:rFonts w:cstheme="minorHAnsi"/>
                <w:b/>
                <w:bCs/>
                <w:sz w:val="24"/>
                <w:szCs w:val="24"/>
              </w:rPr>
              <w:t>Vol</w:t>
            </w:r>
          </w:p>
          <w:p w14:paraId="6BE21A26" w14:textId="04F53790" w:rsidR="00FB0AAE" w:rsidRPr="0023755E" w:rsidRDefault="00FB0AAE" w:rsidP="0023755E">
            <w:pPr>
              <w:pStyle w:val="NoSpacing"/>
              <w:jc w:val="center"/>
              <w:rPr>
                <w:rFonts w:cstheme="minorHAnsi"/>
                <w:b/>
                <w:bCs/>
                <w:sz w:val="24"/>
                <w:szCs w:val="24"/>
              </w:rPr>
            </w:pPr>
            <w:r w:rsidRPr="0023755E">
              <w:rPr>
                <w:rFonts w:cstheme="minorHAnsi"/>
                <w:b/>
                <w:bCs/>
                <w:sz w:val="24"/>
                <w:szCs w:val="24"/>
              </w:rPr>
              <w:t>100s</w:t>
            </w:r>
          </w:p>
        </w:tc>
        <w:tc>
          <w:tcPr>
            <w:tcW w:w="536" w:type="dxa"/>
          </w:tcPr>
          <w:p w14:paraId="5C121372" w14:textId="04E46A34" w:rsidR="00FB0AAE" w:rsidRPr="0023755E" w:rsidRDefault="00FB0AAE" w:rsidP="0023755E">
            <w:pPr>
              <w:pStyle w:val="NoSpacing"/>
              <w:jc w:val="center"/>
              <w:rPr>
                <w:rFonts w:cstheme="minorHAnsi"/>
                <w:b/>
                <w:bCs/>
                <w:sz w:val="24"/>
                <w:szCs w:val="24"/>
              </w:rPr>
            </w:pPr>
            <w:r w:rsidRPr="0023755E">
              <w:rPr>
                <w:rFonts w:cstheme="minorHAnsi"/>
                <w:b/>
                <w:bCs/>
                <w:sz w:val="24"/>
                <w:szCs w:val="24"/>
              </w:rPr>
              <w:t>Hi</w:t>
            </w:r>
          </w:p>
        </w:tc>
        <w:tc>
          <w:tcPr>
            <w:tcW w:w="814" w:type="dxa"/>
          </w:tcPr>
          <w:p w14:paraId="3C80EF21" w14:textId="0D8BF44C" w:rsidR="00FB0AAE" w:rsidRPr="0023755E" w:rsidRDefault="00FB0AAE" w:rsidP="0023755E">
            <w:pPr>
              <w:pStyle w:val="NoSpacing"/>
              <w:jc w:val="center"/>
              <w:rPr>
                <w:rFonts w:cstheme="minorHAnsi"/>
                <w:b/>
                <w:bCs/>
                <w:sz w:val="24"/>
                <w:szCs w:val="24"/>
              </w:rPr>
            </w:pPr>
            <w:r w:rsidRPr="0023755E">
              <w:rPr>
                <w:rFonts w:cstheme="minorHAnsi"/>
                <w:b/>
                <w:bCs/>
                <w:sz w:val="24"/>
                <w:szCs w:val="24"/>
              </w:rPr>
              <w:t>Lo</w:t>
            </w:r>
          </w:p>
        </w:tc>
        <w:tc>
          <w:tcPr>
            <w:tcW w:w="810" w:type="dxa"/>
          </w:tcPr>
          <w:p w14:paraId="3962A25A" w14:textId="0305C8D4" w:rsidR="00FB0AAE" w:rsidRPr="0023755E" w:rsidRDefault="00FB0AAE" w:rsidP="0023755E">
            <w:pPr>
              <w:pStyle w:val="NoSpacing"/>
              <w:jc w:val="center"/>
              <w:rPr>
                <w:rFonts w:cstheme="minorHAnsi"/>
                <w:b/>
                <w:bCs/>
                <w:sz w:val="24"/>
                <w:szCs w:val="24"/>
              </w:rPr>
            </w:pPr>
            <w:r w:rsidRPr="0023755E">
              <w:rPr>
                <w:rFonts w:cstheme="minorHAnsi"/>
                <w:b/>
                <w:bCs/>
                <w:sz w:val="24"/>
                <w:szCs w:val="24"/>
              </w:rPr>
              <w:t>Close</w:t>
            </w:r>
          </w:p>
        </w:tc>
        <w:tc>
          <w:tcPr>
            <w:tcW w:w="715" w:type="dxa"/>
          </w:tcPr>
          <w:p w14:paraId="17FB169D" w14:textId="0CF5D630" w:rsidR="00FB0AAE" w:rsidRPr="0023755E" w:rsidRDefault="00FB0AAE" w:rsidP="0023755E">
            <w:pPr>
              <w:pStyle w:val="NoSpacing"/>
              <w:jc w:val="center"/>
              <w:rPr>
                <w:rFonts w:cstheme="minorHAnsi"/>
                <w:b/>
                <w:bCs/>
                <w:sz w:val="24"/>
                <w:szCs w:val="24"/>
              </w:rPr>
            </w:pPr>
            <w:r w:rsidRPr="0023755E">
              <w:rPr>
                <w:rFonts w:cstheme="minorHAnsi"/>
                <w:b/>
                <w:bCs/>
                <w:sz w:val="24"/>
                <w:szCs w:val="24"/>
              </w:rPr>
              <w:t xml:space="preserve">Net </w:t>
            </w:r>
            <w:proofErr w:type="spellStart"/>
            <w:r w:rsidRPr="0023755E">
              <w:rPr>
                <w:rFonts w:cstheme="minorHAnsi"/>
                <w:b/>
                <w:bCs/>
                <w:sz w:val="24"/>
                <w:szCs w:val="24"/>
              </w:rPr>
              <w:t>Chg</w:t>
            </w:r>
            <w:proofErr w:type="spellEnd"/>
          </w:p>
        </w:tc>
      </w:tr>
      <w:tr w:rsidR="00FB0AAE" w14:paraId="4CFC80D7" w14:textId="77777777" w:rsidTr="00671F0F">
        <w:tc>
          <w:tcPr>
            <w:tcW w:w="1165" w:type="dxa"/>
          </w:tcPr>
          <w:p w14:paraId="74EEAF45" w14:textId="2BF6C926" w:rsidR="00FB0AAE" w:rsidRDefault="00FB0AAE" w:rsidP="0023755E">
            <w:pPr>
              <w:pStyle w:val="NoSpacing"/>
              <w:jc w:val="center"/>
              <w:rPr>
                <w:rFonts w:cstheme="minorHAnsi"/>
                <w:sz w:val="24"/>
                <w:szCs w:val="24"/>
              </w:rPr>
            </w:pPr>
            <w:r>
              <w:rPr>
                <w:rFonts w:cstheme="minorHAnsi"/>
                <w:sz w:val="24"/>
                <w:szCs w:val="24"/>
              </w:rPr>
              <w:t>99.46</w:t>
            </w:r>
          </w:p>
        </w:tc>
        <w:tc>
          <w:tcPr>
            <w:tcW w:w="1170" w:type="dxa"/>
          </w:tcPr>
          <w:p w14:paraId="03C6D01F" w14:textId="5969C23A" w:rsidR="00FB0AAE" w:rsidRDefault="00FB0AAE" w:rsidP="0023755E">
            <w:pPr>
              <w:pStyle w:val="NoSpacing"/>
              <w:jc w:val="center"/>
              <w:rPr>
                <w:rFonts w:cstheme="minorHAnsi"/>
                <w:sz w:val="24"/>
                <w:szCs w:val="24"/>
              </w:rPr>
            </w:pPr>
            <w:r>
              <w:rPr>
                <w:rFonts w:cstheme="minorHAnsi"/>
                <w:sz w:val="24"/>
                <w:szCs w:val="24"/>
              </w:rPr>
              <w:t>34.02</w:t>
            </w:r>
          </w:p>
        </w:tc>
        <w:tc>
          <w:tcPr>
            <w:tcW w:w="810" w:type="dxa"/>
          </w:tcPr>
          <w:p w14:paraId="7D2AF805" w14:textId="7A340432" w:rsidR="00FB0AAE" w:rsidRDefault="00FB0AAE" w:rsidP="0023755E">
            <w:pPr>
              <w:pStyle w:val="NoSpacing"/>
              <w:jc w:val="center"/>
              <w:rPr>
                <w:rFonts w:cstheme="minorHAnsi"/>
                <w:sz w:val="24"/>
                <w:szCs w:val="24"/>
              </w:rPr>
            </w:pPr>
            <w:r>
              <w:rPr>
                <w:rFonts w:cstheme="minorHAnsi"/>
                <w:sz w:val="24"/>
                <w:szCs w:val="24"/>
              </w:rPr>
              <w:t>FedEx</w:t>
            </w:r>
          </w:p>
        </w:tc>
        <w:tc>
          <w:tcPr>
            <w:tcW w:w="720" w:type="dxa"/>
          </w:tcPr>
          <w:p w14:paraId="7479D1F2" w14:textId="04E7D40F" w:rsidR="00FB0AAE" w:rsidRDefault="00FB0AAE" w:rsidP="0023755E">
            <w:pPr>
              <w:pStyle w:val="NoSpacing"/>
              <w:jc w:val="center"/>
              <w:rPr>
                <w:rFonts w:cstheme="minorHAnsi"/>
                <w:sz w:val="24"/>
                <w:szCs w:val="24"/>
              </w:rPr>
            </w:pPr>
            <w:r>
              <w:rPr>
                <w:rFonts w:cstheme="minorHAnsi"/>
                <w:sz w:val="24"/>
                <w:szCs w:val="24"/>
              </w:rPr>
              <w:t>FDX</w:t>
            </w:r>
          </w:p>
        </w:tc>
        <w:tc>
          <w:tcPr>
            <w:tcW w:w="630" w:type="dxa"/>
          </w:tcPr>
          <w:p w14:paraId="0078341E" w14:textId="31544C6B" w:rsidR="00FB0AAE" w:rsidRDefault="00FB0AAE" w:rsidP="0023755E">
            <w:pPr>
              <w:pStyle w:val="NoSpacing"/>
              <w:jc w:val="center"/>
              <w:rPr>
                <w:rFonts w:cstheme="minorHAnsi"/>
                <w:sz w:val="24"/>
                <w:szCs w:val="24"/>
              </w:rPr>
            </w:pPr>
            <w:r>
              <w:rPr>
                <w:rFonts w:cstheme="minorHAnsi"/>
                <w:sz w:val="24"/>
                <w:szCs w:val="24"/>
              </w:rPr>
              <w:t>.44</w:t>
            </w:r>
          </w:p>
        </w:tc>
        <w:tc>
          <w:tcPr>
            <w:tcW w:w="540" w:type="dxa"/>
          </w:tcPr>
          <w:p w14:paraId="1E741879" w14:textId="38E75B0F" w:rsidR="00FB0AAE" w:rsidRDefault="00FB0AAE" w:rsidP="0023755E">
            <w:pPr>
              <w:pStyle w:val="NoSpacing"/>
              <w:jc w:val="center"/>
              <w:rPr>
                <w:rFonts w:cstheme="minorHAnsi"/>
                <w:sz w:val="24"/>
                <w:szCs w:val="24"/>
              </w:rPr>
            </w:pPr>
            <w:r>
              <w:rPr>
                <w:rFonts w:cstheme="minorHAnsi"/>
                <w:sz w:val="24"/>
                <w:szCs w:val="24"/>
              </w:rPr>
              <w:t>1.0</w:t>
            </w:r>
          </w:p>
        </w:tc>
        <w:tc>
          <w:tcPr>
            <w:tcW w:w="540" w:type="dxa"/>
          </w:tcPr>
          <w:p w14:paraId="66DBAEED" w14:textId="0A7C1A76" w:rsidR="00FB0AAE" w:rsidRDefault="00FB0AAE" w:rsidP="0023755E">
            <w:pPr>
              <w:pStyle w:val="NoSpacing"/>
              <w:jc w:val="center"/>
              <w:rPr>
                <w:rFonts w:cstheme="minorHAnsi"/>
                <w:sz w:val="24"/>
                <w:szCs w:val="24"/>
              </w:rPr>
            </w:pPr>
            <w:r>
              <w:rPr>
                <w:rFonts w:cstheme="minorHAnsi"/>
                <w:sz w:val="24"/>
                <w:szCs w:val="24"/>
              </w:rPr>
              <w:t>19</w:t>
            </w:r>
          </w:p>
        </w:tc>
        <w:tc>
          <w:tcPr>
            <w:tcW w:w="900" w:type="dxa"/>
          </w:tcPr>
          <w:p w14:paraId="14D29EB1" w14:textId="7A16E56D" w:rsidR="00FB0AAE" w:rsidRDefault="00FB0AAE" w:rsidP="0023755E">
            <w:pPr>
              <w:pStyle w:val="NoSpacing"/>
              <w:jc w:val="center"/>
              <w:rPr>
                <w:rFonts w:cstheme="minorHAnsi"/>
                <w:sz w:val="24"/>
                <w:szCs w:val="24"/>
              </w:rPr>
            </w:pPr>
            <w:r>
              <w:rPr>
                <w:rFonts w:cstheme="minorHAnsi"/>
                <w:sz w:val="24"/>
                <w:szCs w:val="24"/>
              </w:rPr>
              <w:t>37701</w:t>
            </w:r>
          </w:p>
        </w:tc>
        <w:tc>
          <w:tcPr>
            <w:tcW w:w="536" w:type="dxa"/>
          </w:tcPr>
          <w:p w14:paraId="6F1EAD56" w14:textId="4D4A6959" w:rsidR="00FB0AAE" w:rsidRDefault="00FB0AAE" w:rsidP="0023755E">
            <w:pPr>
              <w:pStyle w:val="NoSpacing"/>
              <w:jc w:val="center"/>
              <w:rPr>
                <w:rFonts w:cstheme="minorHAnsi"/>
                <w:sz w:val="24"/>
                <w:szCs w:val="24"/>
              </w:rPr>
            </w:pPr>
            <w:r>
              <w:rPr>
                <w:rFonts w:cstheme="minorHAnsi"/>
                <w:sz w:val="24"/>
                <w:szCs w:val="24"/>
              </w:rPr>
              <w:t>45</w:t>
            </w:r>
          </w:p>
        </w:tc>
        <w:tc>
          <w:tcPr>
            <w:tcW w:w="814" w:type="dxa"/>
          </w:tcPr>
          <w:p w14:paraId="06ECAF90" w14:textId="6F424ACE" w:rsidR="00FB0AAE" w:rsidRDefault="00FB0AAE" w:rsidP="0023755E">
            <w:pPr>
              <w:pStyle w:val="NoSpacing"/>
              <w:jc w:val="center"/>
              <w:rPr>
                <w:rFonts w:cstheme="minorHAnsi"/>
                <w:sz w:val="24"/>
                <w:szCs w:val="24"/>
              </w:rPr>
            </w:pPr>
            <w:r>
              <w:rPr>
                <w:rFonts w:cstheme="minorHAnsi"/>
                <w:sz w:val="24"/>
                <w:szCs w:val="24"/>
              </w:rPr>
              <w:t>43.47</w:t>
            </w:r>
          </w:p>
        </w:tc>
        <w:tc>
          <w:tcPr>
            <w:tcW w:w="810" w:type="dxa"/>
          </w:tcPr>
          <w:p w14:paraId="4117C968" w14:textId="752E7B31" w:rsidR="00FB0AAE" w:rsidRDefault="00FB0AAE" w:rsidP="0023755E">
            <w:pPr>
              <w:pStyle w:val="NoSpacing"/>
              <w:jc w:val="center"/>
              <w:rPr>
                <w:rFonts w:cstheme="minorHAnsi"/>
                <w:sz w:val="24"/>
                <w:szCs w:val="24"/>
              </w:rPr>
            </w:pPr>
            <w:r>
              <w:rPr>
                <w:rFonts w:cstheme="minorHAnsi"/>
                <w:sz w:val="24"/>
                <w:szCs w:val="24"/>
              </w:rPr>
              <w:t>44.08</w:t>
            </w:r>
          </w:p>
        </w:tc>
        <w:tc>
          <w:tcPr>
            <w:tcW w:w="715" w:type="dxa"/>
          </w:tcPr>
          <w:p w14:paraId="4896670F" w14:textId="6B150682" w:rsidR="00FB0AAE" w:rsidRDefault="00FB0AAE" w:rsidP="0023755E">
            <w:pPr>
              <w:pStyle w:val="NoSpacing"/>
              <w:jc w:val="center"/>
              <w:rPr>
                <w:rFonts w:cstheme="minorHAnsi"/>
                <w:sz w:val="24"/>
                <w:szCs w:val="24"/>
              </w:rPr>
            </w:pPr>
            <w:r>
              <w:rPr>
                <w:rFonts w:cstheme="minorHAnsi"/>
                <w:sz w:val="24"/>
                <w:szCs w:val="24"/>
              </w:rPr>
              <w:t>-1.60</w:t>
            </w:r>
          </w:p>
        </w:tc>
      </w:tr>
    </w:tbl>
    <w:p w14:paraId="01B0266F" w14:textId="77777777" w:rsidR="0023262C" w:rsidRDefault="0023262C" w:rsidP="00F46CB0">
      <w:pPr>
        <w:pStyle w:val="NoSpacing"/>
        <w:spacing w:before="100"/>
        <w:rPr>
          <w:rFonts w:cstheme="minorHAnsi"/>
          <w:sz w:val="24"/>
          <w:szCs w:val="24"/>
        </w:rPr>
      </w:pPr>
    </w:p>
    <w:p w14:paraId="70E703B3" w14:textId="1EF027BD" w:rsidR="00BE2EE7" w:rsidRPr="00F46CB0" w:rsidRDefault="00295BCD" w:rsidP="00F46CB0">
      <w:pPr>
        <w:pStyle w:val="NoSpacing"/>
        <w:spacing w:before="100"/>
        <w:rPr>
          <w:rFonts w:cstheme="minorHAnsi"/>
          <w:sz w:val="24"/>
          <w:szCs w:val="24"/>
        </w:rPr>
      </w:pPr>
      <w:r w:rsidRPr="00F46CB0">
        <w:rPr>
          <w:rFonts w:cstheme="minorHAnsi"/>
          <w:sz w:val="24"/>
          <w:szCs w:val="24"/>
        </w:rPr>
        <w:t>In addition to the 52</w:t>
      </w:r>
      <w:r w:rsidR="0038777A">
        <w:rPr>
          <w:rFonts w:cstheme="minorHAnsi"/>
          <w:sz w:val="24"/>
          <w:szCs w:val="24"/>
        </w:rPr>
        <w:t>-</w:t>
      </w:r>
      <w:r w:rsidRPr="00F46CB0">
        <w:rPr>
          <w:rFonts w:cstheme="minorHAnsi"/>
          <w:sz w:val="24"/>
          <w:szCs w:val="24"/>
        </w:rPr>
        <w:t xml:space="preserve">week high and low prices, the listing gives yesterday’s high and low prices, and the price when the stock exchange </w:t>
      </w:r>
      <w:r w:rsidRPr="00F46CB0">
        <w:rPr>
          <w:rFonts w:cstheme="minorHAnsi"/>
          <w:b/>
          <w:bCs/>
          <w:sz w:val="24"/>
          <w:szCs w:val="24"/>
        </w:rPr>
        <w:t xml:space="preserve">closed </w:t>
      </w:r>
      <w:r w:rsidRPr="00F46CB0">
        <w:rPr>
          <w:rFonts w:cstheme="minorHAnsi"/>
          <w:sz w:val="24"/>
          <w:szCs w:val="24"/>
        </w:rPr>
        <w:t xml:space="preserve">yesterday.  The </w:t>
      </w:r>
      <w:r w:rsidRPr="00F46CB0">
        <w:rPr>
          <w:rFonts w:cstheme="minorHAnsi"/>
          <w:b/>
          <w:bCs/>
          <w:sz w:val="24"/>
          <w:szCs w:val="24"/>
        </w:rPr>
        <w:t>net change</w:t>
      </w:r>
      <w:r w:rsidRPr="00F46CB0">
        <w:rPr>
          <w:rFonts w:cstheme="minorHAnsi"/>
          <w:sz w:val="24"/>
          <w:szCs w:val="24"/>
        </w:rPr>
        <w:t xml:space="preserve"> is the difference between the closing price yesterday and the closing price </w:t>
      </w:r>
      <w:proofErr w:type="gramStart"/>
      <w:r w:rsidRPr="00F46CB0">
        <w:rPr>
          <w:rFonts w:cstheme="minorHAnsi"/>
          <w:sz w:val="24"/>
          <w:szCs w:val="24"/>
        </w:rPr>
        <w:t>one day</w:t>
      </w:r>
      <w:proofErr w:type="gramEnd"/>
      <w:r w:rsidRPr="00F46CB0">
        <w:rPr>
          <w:rFonts w:cstheme="minorHAnsi"/>
          <w:sz w:val="24"/>
          <w:szCs w:val="24"/>
        </w:rPr>
        <w:t xml:space="preserve"> prior. </w:t>
      </w:r>
      <w:r w:rsidR="00690EEB" w:rsidRPr="00F46CB0">
        <w:rPr>
          <w:rFonts w:cstheme="minorHAnsi"/>
          <w:sz w:val="24"/>
          <w:szCs w:val="24"/>
        </w:rPr>
        <w:t xml:space="preserve">A negative net change means the stock lost value yesterday.  </w:t>
      </w:r>
      <w:r w:rsidR="00690EEB" w:rsidRPr="00F46CB0">
        <w:rPr>
          <w:rFonts w:cstheme="minorHAnsi"/>
          <w:b/>
          <w:bCs/>
          <w:sz w:val="24"/>
          <w:szCs w:val="24"/>
        </w:rPr>
        <w:t>Vo</w:t>
      </w:r>
      <w:r w:rsidRPr="00F46CB0">
        <w:rPr>
          <w:rFonts w:cstheme="minorHAnsi"/>
          <w:b/>
          <w:bCs/>
          <w:sz w:val="24"/>
          <w:szCs w:val="24"/>
        </w:rPr>
        <w:t xml:space="preserve">lume </w:t>
      </w:r>
      <w:r w:rsidRPr="00F46CB0">
        <w:rPr>
          <w:rFonts w:cstheme="minorHAnsi"/>
          <w:sz w:val="24"/>
          <w:szCs w:val="24"/>
        </w:rPr>
        <w:t xml:space="preserve">is the number of shares traded yesterday, expressed in hundreds.  </w:t>
      </w:r>
    </w:p>
    <w:p w14:paraId="6985E9DA" w14:textId="77777777" w:rsidR="00295BCD" w:rsidRPr="00F46CB0" w:rsidRDefault="00690EEB" w:rsidP="00F46CB0">
      <w:pPr>
        <w:pStyle w:val="NoSpacing"/>
        <w:rPr>
          <w:rFonts w:cstheme="minorHAnsi"/>
          <w:sz w:val="24"/>
          <w:szCs w:val="24"/>
        </w:rPr>
      </w:pPr>
      <w:r w:rsidRPr="00F46CB0">
        <w:rPr>
          <w:rFonts w:cstheme="minorHAnsi"/>
          <w:sz w:val="24"/>
          <w:szCs w:val="24"/>
        </w:rPr>
        <w:t xml:space="preserve">The </w:t>
      </w:r>
      <w:r w:rsidRPr="00F46CB0">
        <w:rPr>
          <w:rFonts w:cstheme="minorHAnsi"/>
          <w:b/>
          <w:sz w:val="24"/>
          <w:szCs w:val="24"/>
        </w:rPr>
        <w:t xml:space="preserve">yield percent </w:t>
      </w:r>
      <w:r w:rsidRPr="00F46CB0">
        <w:rPr>
          <w:rFonts w:cstheme="minorHAnsi"/>
          <w:sz w:val="24"/>
          <w:szCs w:val="24"/>
        </w:rPr>
        <w:t xml:space="preserve">is the ratio of the </w:t>
      </w:r>
      <w:r w:rsidRPr="00F46CB0">
        <w:rPr>
          <w:rFonts w:cstheme="minorHAnsi"/>
          <w:b/>
          <w:sz w:val="24"/>
          <w:szCs w:val="24"/>
        </w:rPr>
        <w:t xml:space="preserve">dividend per share </w:t>
      </w:r>
      <w:r w:rsidRPr="00F46CB0">
        <w:rPr>
          <w:rFonts w:cstheme="minorHAnsi"/>
          <w:sz w:val="24"/>
          <w:szCs w:val="24"/>
        </w:rPr>
        <w:t xml:space="preserve">to the closing price.  This represents income that accrues while the stock is being held, but not sold.  Note that not all companies pay dividends.  </w:t>
      </w:r>
    </w:p>
    <w:p w14:paraId="51694BE7" w14:textId="5DBF126A" w:rsidR="009372CD" w:rsidRDefault="00690EEB" w:rsidP="0023262C">
      <w:pPr>
        <w:pStyle w:val="NoSpacing"/>
        <w:spacing w:after="120"/>
        <w:rPr>
          <w:rFonts w:cstheme="minorHAnsi"/>
          <w:sz w:val="24"/>
          <w:szCs w:val="24"/>
        </w:rPr>
      </w:pPr>
      <w:r w:rsidRPr="00F46CB0">
        <w:rPr>
          <w:rFonts w:cstheme="minorHAnsi"/>
          <w:b/>
          <w:sz w:val="24"/>
          <w:szCs w:val="24"/>
        </w:rPr>
        <w:t xml:space="preserve">PE ratio </w:t>
      </w:r>
      <w:r w:rsidRPr="00F46CB0">
        <w:rPr>
          <w:rFonts w:cstheme="minorHAnsi"/>
          <w:sz w:val="24"/>
          <w:szCs w:val="24"/>
        </w:rPr>
        <w:t xml:space="preserve">or price-to-earnings ratio is a number that compares the price of stock with the company’s profitability.  The annual earnings, or profit, of the company is divided by the total number of shares of stocks, to get </w:t>
      </w:r>
      <w:r w:rsidRPr="00F46CB0">
        <w:rPr>
          <w:rFonts w:cstheme="minorHAnsi"/>
          <w:b/>
          <w:sz w:val="24"/>
          <w:szCs w:val="24"/>
        </w:rPr>
        <w:t>annual earnings per share</w:t>
      </w:r>
      <w:r w:rsidRPr="00F46CB0">
        <w:rPr>
          <w:rFonts w:cstheme="minorHAnsi"/>
          <w:sz w:val="24"/>
          <w:szCs w:val="24"/>
        </w:rPr>
        <w:t>. This is divided into the price to get the PE ratio.  Since PE ratio is the published number, the equation can be manipulated to calculate the annual earnings per share.</w:t>
      </w:r>
    </w:p>
    <w:p w14:paraId="06325F27" w14:textId="2AB0181C" w:rsidR="0023262C" w:rsidRPr="00F46CB0" w:rsidRDefault="006B1E4D" w:rsidP="0023262C">
      <w:pPr>
        <w:pStyle w:val="NoSpacing"/>
        <w:jc w:val="center"/>
        <w:rPr>
          <w:rFonts w:cstheme="minorHAnsi"/>
          <w:sz w:val="24"/>
          <w:szCs w:val="24"/>
        </w:rPr>
      </w:pPr>
      <w:r w:rsidRPr="0023262C">
        <w:rPr>
          <w:rFonts w:cstheme="minorHAnsi"/>
          <w:position w:val="-24"/>
          <w:sz w:val="24"/>
          <w:szCs w:val="24"/>
        </w:rPr>
        <w:object w:dxaOrig="5840" w:dyaOrig="620" w14:anchorId="2AE1E578">
          <v:shape id="_x0000_i1029" type="#_x0000_t75" alt="annual earnings per share equals fraction numerator yesterday's closing price per share over denominator PE ratio" style="width:291.9pt;height:30.9pt" o:ole="">
            <v:imagedata r:id="rId13" o:title=""/>
          </v:shape>
          <o:OLEObject Type="Embed" ProgID="Equation.DSMT4" ShapeID="_x0000_i1029" DrawAspect="Content" ObjectID="_1625910411" r:id="rId14"/>
        </w:object>
      </w:r>
    </w:p>
    <w:p w14:paraId="41B75536" w14:textId="6C7DC490" w:rsidR="0023755E" w:rsidRDefault="0023755E">
      <w:pPr>
        <w:spacing w:after="160" w:line="259" w:lineRule="auto"/>
        <w:rPr>
          <w:rFonts w:eastAsiaTheme="minorEastAsia" w:cstheme="minorHAnsi"/>
          <w:b/>
          <w:bCs/>
          <w:sz w:val="24"/>
          <w:szCs w:val="24"/>
        </w:rPr>
      </w:pPr>
      <w:r>
        <w:rPr>
          <w:rFonts w:eastAsiaTheme="minorEastAsia" w:cstheme="minorHAnsi"/>
          <w:b/>
          <w:bCs/>
          <w:sz w:val="24"/>
          <w:szCs w:val="24"/>
        </w:rPr>
        <w:br w:type="page"/>
      </w:r>
    </w:p>
    <w:p w14:paraId="2FEAB363" w14:textId="77777777" w:rsidR="009372CD" w:rsidRPr="00F46CB0" w:rsidRDefault="009372CD" w:rsidP="0023755E">
      <w:pPr>
        <w:pStyle w:val="NoSpacing"/>
        <w:spacing w:after="4080"/>
        <w:rPr>
          <w:rFonts w:eastAsiaTheme="minorEastAsia" w:cstheme="minorHAnsi"/>
          <w:b/>
          <w:bCs/>
          <w:sz w:val="24"/>
          <w:szCs w:val="24"/>
        </w:rPr>
      </w:pPr>
    </w:p>
    <w:p w14:paraId="314CD54E" w14:textId="77777777" w:rsidR="00BE2EE7" w:rsidRPr="00F46CB0" w:rsidRDefault="009372CD" w:rsidP="00F46CB0">
      <w:pPr>
        <w:pStyle w:val="NoSpacing"/>
        <w:rPr>
          <w:rFonts w:eastAsiaTheme="minorEastAsia" w:cstheme="minorHAnsi"/>
          <w:b/>
          <w:bCs/>
          <w:sz w:val="24"/>
          <w:szCs w:val="24"/>
        </w:rPr>
      </w:pPr>
      <w:r w:rsidRPr="00F46CB0">
        <w:rPr>
          <w:rFonts w:eastAsiaTheme="minorEastAsia" w:cstheme="minorHAnsi"/>
          <w:b/>
          <w:bCs/>
          <w:sz w:val="24"/>
          <w:szCs w:val="24"/>
        </w:rPr>
        <w:t>Objective</w:t>
      </w:r>
      <w:r w:rsidR="00FA393A" w:rsidRPr="00F46CB0">
        <w:rPr>
          <w:rFonts w:eastAsiaTheme="minorEastAsia" w:cstheme="minorHAnsi"/>
          <w:b/>
          <w:bCs/>
          <w:sz w:val="24"/>
          <w:szCs w:val="24"/>
        </w:rPr>
        <w:t xml:space="preserve"> 5:  </w:t>
      </w:r>
      <w:r w:rsidR="00BE2EE7" w:rsidRPr="00F46CB0">
        <w:rPr>
          <w:rFonts w:eastAsiaTheme="minorEastAsia" w:cstheme="minorHAnsi"/>
          <w:b/>
          <w:bCs/>
          <w:sz w:val="24"/>
          <w:szCs w:val="24"/>
        </w:rPr>
        <w:t>Understand accounts designed for retirement savings</w:t>
      </w:r>
    </w:p>
    <w:p w14:paraId="6A3FD35D" w14:textId="77777777" w:rsidR="00616BA5" w:rsidRDefault="00616BA5" w:rsidP="00F46CB0">
      <w:pPr>
        <w:pStyle w:val="NoSpacing"/>
        <w:rPr>
          <w:rFonts w:eastAsiaTheme="minorEastAsia" w:cstheme="minorHAnsi"/>
          <w:bCs/>
          <w:sz w:val="24"/>
          <w:szCs w:val="24"/>
        </w:rPr>
      </w:pPr>
    </w:p>
    <w:p w14:paraId="6B9FDF42" w14:textId="7165D240" w:rsidR="00881AA3" w:rsidRPr="00F46CB0" w:rsidRDefault="004E1C71" w:rsidP="00F46CB0">
      <w:pPr>
        <w:pStyle w:val="NoSpacing"/>
        <w:rPr>
          <w:rFonts w:eastAsiaTheme="minorEastAsia" w:cstheme="minorHAnsi"/>
          <w:bCs/>
          <w:sz w:val="24"/>
          <w:szCs w:val="24"/>
        </w:rPr>
      </w:pPr>
      <w:bookmarkStart w:id="0" w:name="_GoBack"/>
      <w:bookmarkEnd w:id="0"/>
      <w:r w:rsidRPr="00F46CB0">
        <w:rPr>
          <w:rFonts w:eastAsiaTheme="minorEastAsia" w:cstheme="minorHAnsi"/>
          <w:bCs/>
          <w:sz w:val="24"/>
          <w:szCs w:val="24"/>
        </w:rPr>
        <w:t>Accounts designed for retirement savings differ from ordinary savings account</w:t>
      </w:r>
      <w:r w:rsidR="00FE220F" w:rsidRPr="00F46CB0">
        <w:rPr>
          <w:rFonts w:eastAsiaTheme="minorEastAsia" w:cstheme="minorHAnsi"/>
          <w:bCs/>
          <w:sz w:val="24"/>
          <w:szCs w:val="24"/>
        </w:rPr>
        <w:t>s</w:t>
      </w:r>
      <w:r w:rsidRPr="00F46CB0">
        <w:rPr>
          <w:rFonts w:eastAsiaTheme="minorEastAsia" w:cstheme="minorHAnsi"/>
          <w:bCs/>
          <w:sz w:val="24"/>
          <w:szCs w:val="24"/>
        </w:rPr>
        <w:t xml:space="preserve"> in that there are tax or employer benefits associated with the deposits and/or earnings</w:t>
      </w:r>
      <w:r w:rsidR="0031625F" w:rsidRPr="00F46CB0">
        <w:rPr>
          <w:rFonts w:eastAsiaTheme="minorEastAsia" w:cstheme="minorHAnsi"/>
          <w:bCs/>
          <w:sz w:val="24"/>
          <w:szCs w:val="24"/>
        </w:rPr>
        <w:t>,</w:t>
      </w:r>
      <w:r w:rsidRPr="00F46CB0">
        <w:rPr>
          <w:rFonts w:eastAsiaTheme="minorEastAsia" w:cstheme="minorHAnsi"/>
          <w:bCs/>
          <w:sz w:val="24"/>
          <w:szCs w:val="24"/>
        </w:rPr>
        <w:t xml:space="preserve"> and there is usually a penalty for withdrawing money from the accounts before age 59 ½.</w:t>
      </w:r>
      <w:r w:rsidR="00157843" w:rsidRPr="00F46CB0">
        <w:rPr>
          <w:rFonts w:eastAsiaTheme="minorEastAsia" w:cstheme="minorHAnsi"/>
          <w:bCs/>
          <w:sz w:val="24"/>
          <w:szCs w:val="24"/>
        </w:rPr>
        <w:t xml:space="preserve">  </w:t>
      </w:r>
    </w:p>
    <w:p w14:paraId="3FF05EA7" w14:textId="525A4DCD" w:rsidR="002D1C57" w:rsidRPr="00A741EA" w:rsidRDefault="002204B9" w:rsidP="00A741EA">
      <w:pPr>
        <w:pStyle w:val="NoSpacing"/>
        <w:rPr>
          <w:rFonts w:eastAsiaTheme="minorEastAsia" w:cstheme="minorHAnsi"/>
          <w:bCs/>
          <w:sz w:val="24"/>
          <w:szCs w:val="24"/>
        </w:rPr>
      </w:pPr>
      <w:r w:rsidRPr="00F46CB0">
        <w:rPr>
          <w:rFonts w:eastAsiaTheme="minorEastAsia" w:cstheme="minorHAnsi"/>
          <w:bCs/>
          <w:sz w:val="24"/>
          <w:szCs w:val="24"/>
        </w:rPr>
        <w:t xml:space="preserve">Deposits to a </w:t>
      </w:r>
      <w:r w:rsidR="00881AA3" w:rsidRPr="00F46CB0">
        <w:rPr>
          <w:rFonts w:eastAsiaTheme="minorEastAsia" w:cstheme="minorHAnsi"/>
          <w:bCs/>
          <w:sz w:val="24"/>
          <w:szCs w:val="24"/>
        </w:rPr>
        <w:t>tradit</w:t>
      </w:r>
      <w:r w:rsidR="00157843" w:rsidRPr="00F46CB0">
        <w:rPr>
          <w:rFonts w:eastAsiaTheme="minorEastAsia" w:cstheme="minorHAnsi"/>
          <w:bCs/>
          <w:sz w:val="24"/>
          <w:szCs w:val="24"/>
        </w:rPr>
        <w:t xml:space="preserve">ional </w:t>
      </w:r>
      <w:r w:rsidRPr="00F46CB0">
        <w:rPr>
          <w:rFonts w:eastAsiaTheme="minorEastAsia" w:cstheme="minorHAnsi"/>
          <w:b/>
          <w:bCs/>
          <w:sz w:val="24"/>
          <w:szCs w:val="24"/>
        </w:rPr>
        <w:t>i</w:t>
      </w:r>
      <w:r w:rsidR="00157843" w:rsidRPr="00F46CB0">
        <w:rPr>
          <w:rFonts w:eastAsiaTheme="minorEastAsia" w:cstheme="minorHAnsi"/>
          <w:b/>
          <w:bCs/>
          <w:sz w:val="24"/>
          <w:szCs w:val="24"/>
        </w:rPr>
        <w:t>ndividual re</w:t>
      </w:r>
      <w:r w:rsidRPr="00F46CB0">
        <w:rPr>
          <w:rFonts w:eastAsiaTheme="minorEastAsia" w:cstheme="minorHAnsi"/>
          <w:b/>
          <w:bCs/>
          <w:sz w:val="24"/>
          <w:szCs w:val="24"/>
        </w:rPr>
        <w:t>tirement account</w:t>
      </w:r>
      <w:r w:rsidRPr="00F46CB0">
        <w:rPr>
          <w:rFonts w:eastAsiaTheme="minorEastAsia" w:cstheme="minorHAnsi"/>
          <w:bCs/>
          <w:sz w:val="24"/>
          <w:szCs w:val="24"/>
        </w:rPr>
        <w:t xml:space="preserve">, or </w:t>
      </w:r>
      <w:r w:rsidRPr="00F46CB0">
        <w:rPr>
          <w:rFonts w:eastAsiaTheme="minorEastAsia" w:cstheme="minorHAnsi"/>
          <w:b/>
          <w:sz w:val="24"/>
          <w:szCs w:val="24"/>
        </w:rPr>
        <w:t>IRA</w:t>
      </w:r>
      <w:r w:rsidRPr="00F46CB0">
        <w:rPr>
          <w:rFonts w:eastAsiaTheme="minorEastAsia" w:cstheme="minorHAnsi"/>
          <w:bCs/>
          <w:sz w:val="24"/>
          <w:szCs w:val="24"/>
        </w:rPr>
        <w:t>, are not taxed. T</w:t>
      </w:r>
      <w:r w:rsidR="00881AA3" w:rsidRPr="00F46CB0">
        <w:rPr>
          <w:rFonts w:eastAsiaTheme="minorEastAsia" w:cstheme="minorHAnsi"/>
          <w:bCs/>
          <w:sz w:val="24"/>
          <w:szCs w:val="24"/>
        </w:rPr>
        <w:t>hey are a deductio</w:t>
      </w:r>
      <w:r w:rsidR="00B82D4E" w:rsidRPr="00F46CB0">
        <w:rPr>
          <w:rFonts w:eastAsiaTheme="minorEastAsia" w:cstheme="minorHAnsi"/>
          <w:bCs/>
          <w:sz w:val="24"/>
          <w:szCs w:val="24"/>
        </w:rPr>
        <w:t xml:space="preserve">n when calculating income taxes. </w:t>
      </w:r>
      <w:r w:rsidRPr="00F46CB0">
        <w:rPr>
          <w:rFonts w:eastAsiaTheme="minorEastAsia" w:cstheme="minorHAnsi"/>
          <w:bCs/>
          <w:sz w:val="24"/>
          <w:szCs w:val="24"/>
        </w:rPr>
        <w:t xml:space="preserve">Withdrawals from a traditional IRA are taxed. In contrast, deposits to </w:t>
      </w:r>
      <w:r w:rsidR="00881AA3" w:rsidRPr="00F46CB0">
        <w:rPr>
          <w:rFonts w:eastAsiaTheme="minorEastAsia" w:cstheme="minorHAnsi"/>
          <w:bCs/>
          <w:sz w:val="24"/>
          <w:szCs w:val="24"/>
        </w:rPr>
        <w:t xml:space="preserve">a </w:t>
      </w:r>
      <w:r w:rsidR="00881AA3" w:rsidRPr="00F46CB0">
        <w:rPr>
          <w:rFonts w:eastAsiaTheme="minorEastAsia" w:cstheme="minorHAnsi"/>
          <w:b/>
          <w:bCs/>
          <w:sz w:val="24"/>
          <w:szCs w:val="24"/>
        </w:rPr>
        <w:t>Roth IRA</w:t>
      </w:r>
      <w:r w:rsidRPr="00F46CB0">
        <w:rPr>
          <w:rFonts w:eastAsiaTheme="minorEastAsia" w:cstheme="minorHAnsi"/>
          <w:bCs/>
          <w:sz w:val="24"/>
          <w:szCs w:val="24"/>
        </w:rPr>
        <w:t xml:space="preserve"> are taxed as part of income. W</w:t>
      </w:r>
      <w:r w:rsidR="00881AA3" w:rsidRPr="00F46CB0">
        <w:rPr>
          <w:rFonts w:eastAsiaTheme="minorEastAsia" w:cstheme="minorHAnsi"/>
          <w:bCs/>
          <w:sz w:val="24"/>
          <w:szCs w:val="24"/>
        </w:rPr>
        <w:t xml:space="preserve">ithdrawals, including all of the earned interest, are tax free.  Some employers provide incentives for their employees to save towards retirement </w:t>
      </w:r>
      <w:r w:rsidRPr="00F46CB0">
        <w:rPr>
          <w:rFonts w:eastAsiaTheme="minorEastAsia" w:cstheme="minorHAnsi"/>
          <w:bCs/>
          <w:sz w:val="24"/>
          <w:szCs w:val="24"/>
        </w:rPr>
        <w:t xml:space="preserve">by </w:t>
      </w:r>
      <w:r w:rsidR="00881AA3" w:rsidRPr="00F46CB0">
        <w:rPr>
          <w:rFonts w:eastAsiaTheme="minorEastAsia" w:cstheme="minorHAnsi"/>
          <w:bCs/>
          <w:sz w:val="24"/>
          <w:szCs w:val="24"/>
        </w:rPr>
        <w:t xml:space="preserve">making contributions to </w:t>
      </w:r>
      <w:r w:rsidR="00881AA3" w:rsidRPr="00F46CB0">
        <w:rPr>
          <w:rFonts w:eastAsiaTheme="minorEastAsia" w:cstheme="minorHAnsi"/>
          <w:b/>
          <w:bCs/>
          <w:sz w:val="24"/>
          <w:szCs w:val="24"/>
        </w:rPr>
        <w:t>employer-sponsored retirement plans</w:t>
      </w:r>
      <w:r w:rsidR="00881AA3" w:rsidRPr="00F46CB0">
        <w:rPr>
          <w:rFonts w:eastAsiaTheme="minorEastAsia" w:cstheme="minorHAnsi"/>
          <w:bCs/>
          <w:sz w:val="24"/>
          <w:szCs w:val="24"/>
        </w:rPr>
        <w:t xml:space="preserve"> on behalf of the employee.</w:t>
      </w:r>
    </w:p>
    <w:sectPr w:rsidR="002D1C57" w:rsidRPr="00A74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1E4C"/>
    <w:multiLevelType w:val="hybridMultilevel"/>
    <w:tmpl w:val="01C2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308F8"/>
    <w:multiLevelType w:val="hybridMultilevel"/>
    <w:tmpl w:val="6ED8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E7"/>
    <w:rsid w:val="000A08F8"/>
    <w:rsid w:val="000C0B5F"/>
    <w:rsid w:val="00157843"/>
    <w:rsid w:val="002204B9"/>
    <w:rsid w:val="0023262C"/>
    <w:rsid w:val="0023755E"/>
    <w:rsid w:val="00295BCD"/>
    <w:rsid w:val="002D1C57"/>
    <w:rsid w:val="002F08DC"/>
    <w:rsid w:val="00304005"/>
    <w:rsid w:val="0031625F"/>
    <w:rsid w:val="00373D91"/>
    <w:rsid w:val="0038777A"/>
    <w:rsid w:val="003A013A"/>
    <w:rsid w:val="003A1D8A"/>
    <w:rsid w:val="004E1C71"/>
    <w:rsid w:val="00530070"/>
    <w:rsid w:val="0053067D"/>
    <w:rsid w:val="00616BA5"/>
    <w:rsid w:val="00656F7D"/>
    <w:rsid w:val="00671F0F"/>
    <w:rsid w:val="00690EEB"/>
    <w:rsid w:val="006A6EA2"/>
    <w:rsid w:val="006B1E4D"/>
    <w:rsid w:val="007B1EE0"/>
    <w:rsid w:val="00875E46"/>
    <w:rsid w:val="00881AA3"/>
    <w:rsid w:val="0089705D"/>
    <w:rsid w:val="009372CD"/>
    <w:rsid w:val="009779AD"/>
    <w:rsid w:val="009C0C8A"/>
    <w:rsid w:val="00A741EA"/>
    <w:rsid w:val="00AD67EA"/>
    <w:rsid w:val="00B82D4E"/>
    <w:rsid w:val="00BA4B81"/>
    <w:rsid w:val="00BE2EE7"/>
    <w:rsid w:val="00C33244"/>
    <w:rsid w:val="00C51DCF"/>
    <w:rsid w:val="00C84C6B"/>
    <w:rsid w:val="00CF6834"/>
    <w:rsid w:val="00E33C3B"/>
    <w:rsid w:val="00E463B3"/>
    <w:rsid w:val="00EE77DC"/>
    <w:rsid w:val="00F46CB0"/>
    <w:rsid w:val="00FA393A"/>
    <w:rsid w:val="00FB0AAE"/>
    <w:rsid w:val="00FE2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378ECEE"/>
  <w15:chartTrackingRefBased/>
  <w15:docId w15:val="{D34D15C8-01D4-4EFC-811D-DA810D13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E7"/>
    <w:pPr>
      <w:spacing w:after="200" w:line="276" w:lineRule="auto"/>
    </w:pPr>
    <w:rPr>
      <w:lang w:bidi="ar-SA"/>
    </w:rPr>
  </w:style>
  <w:style w:type="paragraph" w:styleId="Heading1">
    <w:name w:val="heading 1"/>
    <w:basedOn w:val="Normal"/>
    <w:next w:val="Normal"/>
    <w:link w:val="Heading1Char"/>
    <w:uiPriority w:val="9"/>
    <w:qFormat/>
    <w:rsid w:val="00F46CB0"/>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EE7"/>
    <w:pPr>
      <w:spacing w:after="0" w:line="240" w:lineRule="auto"/>
    </w:pPr>
    <w:rPr>
      <w:lang w:bidi="ar-SA"/>
    </w:rPr>
  </w:style>
  <w:style w:type="table" w:styleId="TableGrid">
    <w:name w:val="Table Grid"/>
    <w:basedOn w:val="TableNormal"/>
    <w:uiPriority w:val="59"/>
    <w:rsid w:val="00BE2EE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3A"/>
    <w:rPr>
      <w:rFonts w:ascii="Segoe UI" w:hAnsi="Segoe UI" w:cs="Segoe UI"/>
      <w:sz w:val="18"/>
      <w:szCs w:val="18"/>
      <w:lang w:bidi="ar-SA"/>
    </w:rPr>
  </w:style>
  <w:style w:type="character" w:styleId="PlaceholderText">
    <w:name w:val="Placeholder Text"/>
    <w:basedOn w:val="DefaultParagraphFont"/>
    <w:uiPriority w:val="99"/>
    <w:semiHidden/>
    <w:rsid w:val="00C51DCF"/>
    <w:rPr>
      <w:color w:val="808080"/>
    </w:rPr>
  </w:style>
  <w:style w:type="paragraph" w:styleId="Title">
    <w:name w:val="Title"/>
    <w:basedOn w:val="Normal"/>
    <w:next w:val="Normal"/>
    <w:link w:val="TitleChar"/>
    <w:uiPriority w:val="10"/>
    <w:qFormat/>
    <w:rsid w:val="00F46CB0"/>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F46CB0"/>
    <w:rPr>
      <w:rFonts w:eastAsiaTheme="majorEastAsia" w:cstheme="majorBidi"/>
      <w:b/>
      <w:spacing w:val="-10"/>
      <w:kern w:val="28"/>
      <w:sz w:val="32"/>
      <w:szCs w:val="56"/>
      <w:lang w:bidi="ar-SA"/>
    </w:rPr>
  </w:style>
  <w:style w:type="character" w:customStyle="1" w:styleId="Heading1Char">
    <w:name w:val="Heading 1 Char"/>
    <w:basedOn w:val="DefaultParagraphFont"/>
    <w:link w:val="Heading1"/>
    <w:uiPriority w:val="9"/>
    <w:rsid w:val="00F46CB0"/>
    <w:rPr>
      <w:rFonts w:eastAsiaTheme="majorEastAsia" w:cstheme="majorBidi"/>
      <w:b/>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kurtz</cp:lastModifiedBy>
  <cp:revision>9</cp:revision>
  <dcterms:created xsi:type="dcterms:W3CDTF">2019-07-29T14:44:00Z</dcterms:created>
  <dcterms:modified xsi:type="dcterms:W3CDTF">2019-07-29T18:00:00Z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