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5116" w14:textId="77777777" w:rsidR="0018072D" w:rsidRPr="00E1058C" w:rsidRDefault="00E10CC9" w:rsidP="00E1058C">
      <w:pPr>
        <w:pStyle w:val="Title"/>
      </w:pPr>
      <w:r>
        <w:t xml:space="preserve">Section </w:t>
      </w:r>
      <w:r w:rsidR="00527709">
        <w:t>1</w:t>
      </w:r>
      <w:r w:rsidR="006C3343">
        <w:t>4.</w:t>
      </w:r>
      <w:r w:rsidR="00A17389">
        <w:t>3</w:t>
      </w:r>
      <w:r w:rsidR="00846AD3">
        <w:t xml:space="preserve">  </w:t>
      </w:r>
      <w:r w:rsidR="00974FE3">
        <w:t>Trigonometric Functions of Any Angle</w:t>
      </w:r>
    </w:p>
    <w:p w14:paraId="419CAA82" w14:textId="77777777" w:rsidR="00740DD0" w:rsidRPr="002B400A" w:rsidRDefault="00740DD0" w:rsidP="00CA2A47">
      <w:pPr>
        <w:rPr>
          <w:rFonts w:asciiTheme="minorHAnsi" w:hAnsiTheme="minorHAnsi"/>
          <w:b/>
          <w:color w:val="339966"/>
        </w:rPr>
      </w:pPr>
    </w:p>
    <w:p w14:paraId="32461E43" w14:textId="77777777" w:rsidR="002B775A" w:rsidRDefault="00CA2A47" w:rsidP="003D6A59">
      <w:pPr>
        <w:pStyle w:val="Heading1"/>
      </w:pPr>
      <w:r w:rsidRPr="002B400A">
        <w:t>Objective 1</w:t>
      </w:r>
      <w:r w:rsidR="00A471BC" w:rsidRPr="002B400A">
        <w:t xml:space="preserve">:  </w:t>
      </w:r>
      <w:r w:rsidR="006C3343">
        <w:t xml:space="preserve">The </w:t>
      </w:r>
      <w:r w:rsidR="00900C38">
        <w:t>Six Trigonometric Functions</w:t>
      </w:r>
      <w:r w:rsidR="00404D05">
        <w:t xml:space="preserve"> of Any Angle</w:t>
      </w:r>
      <w:r w:rsidR="0094644D">
        <w:t xml:space="preserve"> </w:t>
      </w:r>
    </w:p>
    <w:p w14:paraId="4703AC6F" w14:textId="77777777" w:rsidR="004878F7" w:rsidRDefault="004878F7" w:rsidP="004878F7">
      <w:pPr>
        <w:rPr>
          <w:rFonts w:asciiTheme="minorHAnsi" w:hAnsiTheme="minorHAnsi" w:cstheme="minorHAnsi"/>
        </w:rPr>
      </w:pPr>
    </w:p>
    <w:p w14:paraId="72FAEBB9" w14:textId="77777777" w:rsidR="00C20EDD" w:rsidRDefault="00106F41" w:rsidP="004878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section 14.2, we evaluated trigonometric functions of acute angles. We will now extend the definitions of the six trigonometric functions to include any angle. </w:t>
      </w:r>
    </w:p>
    <w:p w14:paraId="1F320A66" w14:textId="77777777" w:rsidR="00C31DBE" w:rsidRDefault="00C31DBE" w:rsidP="004878F7">
      <w:pPr>
        <w:rPr>
          <w:rFonts w:asciiTheme="minorHAnsi" w:hAnsiTheme="minorHAnsi" w:cstheme="minorHAnsi"/>
        </w:rPr>
      </w:pPr>
    </w:p>
    <w:p w14:paraId="5DC5BE00" w14:textId="7D118FFD" w:rsidR="00C31DBE" w:rsidRDefault="00C31DBE" w:rsidP="004878F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Definitions of Trigonometric Functions of Any Angle</w:t>
      </w:r>
      <w:r w:rsidR="006E2BDD">
        <w:rPr>
          <w:rFonts w:asciiTheme="minorHAnsi" w:hAnsiTheme="minorHAnsi" w:cstheme="minorHAnsi"/>
          <w:b/>
        </w:rPr>
        <w:t>:</w:t>
      </w:r>
    </w:p>
    <w:p w14:paraId="0616E2C4" w14:textId="77777777" w:rsidR="00C31DBE" w:rsidRDefault="00C31DBE" w:rsidP="004878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be an angle in standard position and let </w:t>
      </w:r>
      <m:oMath>
        <m:r>
          <w:rPr>
            <w:rFonts w:ascii="Cambria Math" w:hAnsi="Cambria Math" w:cstheme="minorHAnsi"/>
          </w:rPr>
          <m:t>P(x,y)</m:t>
        </m:r>
      </m:oMath>
      <w:r>
        <w:rPr>
          <w:rFonts w:asciiTheme="minorHAnsi" w:hAnsiTheme="minorHAnsi" w:cstheme="minorHAnsi"/>
        </w:rPr>
        <w:t xml:space="preserve"> be a point on the terminal side of </w:t>
      </w:r>
      <m:oMath>
        <m:r>
          <w:rPr>
            <w:rFonts w:ascii="Cambria Math" w:hAnsi="Cambria Math" w:cstheme="minorHAnsi"/>
          </w:rPr>
          <m:t>θ</m:t>
        </m:r>
      </m:oMath>
      <w:r w:rsidR="00343494">
        <w:rPr>
          <w:rFonts w:asciiTheme="minorHAnsi" w:hAnsiTheme="minorHAnsi" w:cstheme="minorHAnsi"/>
        </w:rPr>
        <w:t xml:space="preserve"> as shown in the figure below</w:t>
      </w:r>
      <w:r>
        <w:rPr>
          <w:rFonts w:asciiTheme="minorHAnsi" w:hAnsiTheme="minorHAnsi" w:cstheme="minorHAnsi"/>
        </w:rPr>
        <w:t xml:space="preserve">. Let </w:t>
      </w:r>
      <m:oMath>
        <m:r>
          <w:rPr>
            <w:rFonts w:ascii="Cambria Math" w:hAnsi="Cambria Math" w:cstheme="minorHAnsi"/>
          </w:rPr>
          <m:t>r</m:t>
        </m:r>
      </m:oMath>
      <w:r>
        <w:rPr>
          <w:rFonts w:asciiTheme="minorHAnsi" w:hAnsiTheme="minorHAnsi" w:cstheme="minorHAnsi"/>
        </w:rPr>
        <w:t xml:space="preserve"> represent the distance from </w:t>
      </w:r>
      <m:oMath>
        <m:r>
          <w:rPr>
            <w:rFonts w:ascii="Cambria Math" w:hAnsi="Cambria Math" w:cstheme="minorHAnsi"/>
          </w:rPr>
          <m:t>(0,0)</m:t>
        </m:r>
      </m:oMath>
      <w:r>
        <w:rPr>
          <w:rFonts w:asciiTheme="minorHAnsi" w:hAnsiTheme="minorHAnsi" w:cstheme="minorHAnsi"/>
        </w:rPr>
        <w:t xml:space="preserve"> to point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asciiTheme="minorHAnsi" w:hAnsiTheme="minorHAnsi" w:cstheme="minorHAnsi"/>
        </w:rPr>
        <w:t>, so</w:t>
      </w:r>
      <w:r w:rsidR="00881FF2">
        <w:rPr>
          <w:rFonts w:asciiTheme="minorHAnsi" w:hAnsiTheme="minorHAnsi" w:cstheme="minorHAnsi"/>
        </w:rPr>
        <w:t xml:space="preserve"> using the distance formula,</w:t>
      </w:r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r=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>
        <w:rPr>
          <w:rFonts w:asciiTheme="minorHAnsi" w:hAnsiTheme="minorHAnsi" w:cstheme="minorHAnsi"/>
        </w:rPr>
        <w:t xml:space="preserve">. The six trigonometric functions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are defined by the following ratios:</w:t>
      </w:r>
    </w:p>
    <w:p w14:paraId="370627BC" w14:textId="77777777" w:rsidR="00980AFA" w:rsidRDefault="00980AFA" w:rsidP="004878F7">
      <w:pPr>
        <w:rPr>
          <w:rFonts w:asciiTheme="minorHAnsi" w:hAnsiTheme="minorHAnsi" w:cstheme="minorHAnsi"/>
        </w:rPr>
      </w:pPr>
    </w:p>
    <w:p w14:paraId="022F296C" w14:textId="77777777" w:rsidR="00980AFA" w:rsidRDefault="00980AFA" w:rsidP="00980AFA">
      <w:pPr>
        <w:ind w:firstLine="720"/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  <w:position w:val="-24"/>
        </w:rPr>
        <w:object w:dxaOrig="940" w:dyaOrig="620" w14:anchorId="107CB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ne theta equals fraction y over r" style="width:47.05pt;height:31pt" o:ole="">
            <v:imagedata r:id="rId7" o:title=""/>
          </v:shape>
          <o:OLEObject Type="Embed" ProgID="Equation.DSMT4" ShapeID="_x0000_i1025" DrawAspect="Content" ObjectID="_1683466627" r:id="rId8"/>
        </w:object>
      </w:r>
      <w:r w:rsidRPr="00A95EBB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940" w:dyaOrig="620" w14:anchorId="1CB361DB">
          <v:shape id="_x0000_i1026" type="#_x0000_t75" alt="cosine theta equals fraction x over r" style="width:47.05pt;height:31pt" o:ole="">
            <v:imagedata r:id="rId9" o:title=""/>
          </v:shape>
          <o:OLEObject Type="Embed" ProgID="Equation.DSMT4" ShapeID="_x0000_i1026" DrawAspect="Content" ObjectID="_1683466628" r:id="rId10"/>
        </w:objec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1600" w:dyaOrig="620" w14:anchorId="28BDD72A">
          <v:shape id="_x0000_i1027" type="#_x0000_t75" alt="tangent theta equals fraction y over x comma x not equal to zero" style="width:79.85pt;height:31pt" o:ole="">
            <v:imagedata r:id="rId11" o:title=""/>
          </v:shape>
          <o:OLEObject Type="Embed" ProgID="Equation.DSMT4" ShapeID="_x0000_i1027" DrawAspect="Content" ObjectID="_1683466629" r:id="rId12"/>
        </w:object>
      </w:r>
    </w:p>
    <w:p w14:paraId="6654CAB5" w14:textId="77777777" w:rsidR="00980AFA" w:rsidRDefault="00980AFA" w:rsidP="00980AFA">
      <w:pPr>
        <w:ind w:firstLine="720"/>
        <w:rPr>
          <w:rFonts w:asciiTheme="minorHAnsi" w:hAnsiTheme="minorHAnsi" w:cstheme="minorHAnsi"/>
          <w:noProof/>
        </w:rPr>
      </w:pPr>
      <w:r w:rsidRPr="00A95EBB">
        <w:rPr>
          <w:rFonts w:asciiTheme="minorHAnsi" w:hAnsiTheme="minorHAnsi" w:cstheme="minorHAnsi"/>
          <w:position w:val="-28"/>
        </w:rPr>
        <w:object w:dxaOrig="1600" w:dyaOrig="660" w14:anchorId="15F44079">
          <v:shape id="_x0000_i1028" type="#_x0000_t75" alt="cosecant theta equals fraction r over y comma y not equal to zero" style="width:79.85pt;height:33.15pt" o:ole="">
            <v:imagedata r:id="rId13" o:title=""/>
          </v:shape>
          <o:OLEObject Type="Embed" ProgID="Equation.DSMT4" ShapeID="_x0000_i1028" DrawAspect="Content" ObjectID="_1683466630" r:id="rId14"/>
        </w:object>
      </w:r>
      <w:r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1579" w:dyaOrig="620" w14:anchorId="565A301B">
          <v:shape id="_x0000_i1029" type="#_x0000_t75" alt="secant theta equals fraction r over x comma x not equal to zero" style="width:78.4pt;height:31pt" o:ole="">
            <v:imagedata r:id="rId15" o:title=""/>
          </v:shape>
          <o:OLEObject Type="Embed" ProgID="Equation.DSMT4" ShapeID="_x0000_i1029" DrawAspect="Content" ObjectID="_1683466631" r:id="rId16"/>
        </w:object>
      </w:r>
      <w:r>
        <w:rPr>
          <w:rFonts w:asciiTheme="minorHAnsi" w:hAnsiTheme="minorHAnsi" w:cstheme="minorHAnsi"/>
          <w:b/>
        </w:rPr>
        <w:tab/>
      </w:r>
      <w:r w:rsidRPr="00A95EBB">
        <w:rPr>
          <w:rFonts w:asciiTheme="minorHAnsi" w:hAnsiTheme="minorHAnsi" w:cstheme="minorHAnsi"/>
          <w:position w:val="-28"/>
        </w:rPr>
        <w:object w:dxaOrig="1600" w:dyaOrig="660" w14:anchorId="5CF466F4">
          <v:shape id="_x0000_i1030" type="#_x0000_t75" alt="cotangent theta equals fraction x over y comma y not equal to zero" style="width:79.85pt;height:33.15pt" o:ole="">
            <v:imagedata r:id="rId17" o:title=""/>
          </v:shape>
          <o:OLEObject Type="Embed" ProgID="Equation.DSMT4" ShapeID="_x0000_i1030" DrawAspect="Content" ObjectID="_1683466632" r:id="rId18"/>
        </w:object>
      </w:r>
      <w:r w:rsidRPr="00A95EBB">
        <w:rPr>
          <w:rFonts w:asciiTheme="minorHAnsi" w:hAnsiTheme="minorHAnsi" w:cstheme="minorHAnsi"/>
        </w:rPr>
        <w:tab/>
      </w:r>
    </w:p>
    <w:p w14:paraId="5DF15D9E" w14:textId="77777777" w:rsidR="00C31DBE" w:rsidRDefault="00343494" w:rsidP="00343494">
      <w:pPr>
        <w:jc w:val="center"/>
        <w:rPr>
          <w:rFonts w:asciiTheme="minorHAnsi" w:hAnsiTheme="minorHAnsi" w:cstheme="minorHAnsi"/>
        </w:rPr>
      </w:pPr>
      <w:r w:rsidRPr="00924B47">
        <w:rPr>
          <w:rFonts w:asciiTheme="minorHAnsi" w:hAnsiTheme="minorHAnsi" w:cstheme="minorHAnsi"/>
          <w:noProof/>
        </w:rPr>
        <w:drawing>
          <wp:inline distT="0" distB="0" distL="0" distR="0" wp14:anchorId="271E951B" wp14:editId="5B4AE6F4">
            <wp:extent cx="2209800" cy="1741170"/>
            <wp:effectExtent l="0" t="0" r="0" b="0"/>
            <wp:docPr id="35" name="Picture 4" descr="A graph of theta measured counterclockwise from the initial ray along the positive x-axis to the terminal ray pointing top left in quadrant 2. A point P(x, y) is marked on the terminal ray such that the distance r from the origin to point P equals square root of x squared plus y squared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" descr="A graph of theta measured counterclockwise from the initial ray along the positive x-axis to the terminal ray pointing top left in quadrant 2. A point P(x, y) is marked on the terminal ray such that the distance r from the origin to point P equals square root of x squared plus y squared end root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t="10491" r="5116" b="6844"/>
                    <a:stretch/>
                  </pic:blipFill>
                  <pic:spPr bwMode="auto">
                    <a:xfrm>
                      <a:off x="0" y="0"/>
                      <a:ext cx="2214285" cy="17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15B68" w14:textId="77777777" w:rsidR="007A63E1" w:rsidRDefault="007A63E1" w:rsidP="00811589">
      <w:pPr>
        <w:spacing w:after="5200"/>
        <w:rPr>
          <w:rFonts w:asciiTheme="minorHAnsi" w:hAnsiTheme="minorHAnsi" w:cstheme="minorHAnsi"/>
        </w:rPr>
      </w:pPr>
      <w:r w:rsidRPr="007A63E1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Find the exact values of the trigonometric functions </w:t>
      </w:r>
      <w:r w:rsidR="00D54AB7">
        <w:rPr>
          <w:rFonts w:asciiTheme="minorHAnsi" w:hAnsiTheme="minorHAnsi" w:cstheme="minorHAnsi"/>
        </w:rPr>
        <w:t xml:space="preserve">of angle </w:t>
      </w:r>
      <m:oMath>
        <m:r>
          <w:rPr>
            <w:rFonts w:ascii="Cambria Math" w:hAnsi="Cambria Math" w:cstheme="minorHAnsi"/>
          </w:rPr>
          <m:t>θ</m:t>
        </m:r>
      </m:oMath>
      <w:r w:rsidR="00D54AB7">
        <w:rPr>
          <w:rFonts w:asciiTheme="minorHAnsi" w:hAnsiTheme="minorHAnsi" w:cstheme="minorHAnsi"/>
        </w:rPr>
        <w:t xml:space="preserve"> drawn in standard position and the terminal side containing the point </w:t>
      </w:r>
      <m:oMath>
        <m:r>
          <w:rPr>
            <w:rFonts w:ascii="Cambria Math" w:hAnsi="Cambria Math" w:cstheme="minorHAnsi"/>
          </w:rPr>
          <m:t>(-4,7)</m:t>
        </m:r>
      </m:oMath>
      <w:r w:rsidR="00D54AB7">
        <w:rPr>
          <w:rFonts w:asciiTheme="minorHAnsi" w:hAnsiTheme="minorHAnsi" w:cstheme="minorHAnsi"/>
        </w:rPr>
        <w:t>.</w:t>
      </w:r>
    </w:p>
    <w:p w14:paraId="3C3C5290" w14:textId="77777777" w:rsidR="00D54AB7" w:rsidRDefault="00D6590D" w:rsidP="007A63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Evaluate the trigonometric function at the quadrantal angle or state that the expression is undefined.</w:t>
      </w:r>
    </w:p>
    <w:p w14:paraId="71383779" w14:textId="77777777" w:rsidR="00D6590D" w:rsidRDefault="00D6590D" w:rsidP="007A63E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1E756B" w14:paraId="20D0AF1C" w14:textId="77777777" w:rsidTr="00B6228D">
        <w:trPr>
          <w:trHeight w:val="2160"/>
        </w:trPr>
        <w:tc>
          <w:tcPr>
            <w:tcW w:w="3260" w:type="dxa"/>
          </w:tcPr>
          <w:p w14:paraId="14B52302" w14:textId="77777777" w:rsidR="001E756B" w:rsidRDefault="001E756B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cos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</w:tc>
        <w:tc>
          <w:tcPr>
            <w:tcW w:w="3261" w:type="dxa"/>
          </w:tcPr>
          <w:p w14:paraId="040CB58F" w14:textId="77777777" w:rsidR="001E756B" w:rsidRDefault="001E756B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sec</m:t>
              </m:r>
              <m:r>
                <w:rPr>
                  <w:rFonts w:ascii="Cambria Math" w:hAnsi="Cambria Math" w:cstheme="minorHAnsi"/>
                </w:rPr>
                <m:t> 360°</m:t>
              </m:r>
            </m:oMath>
          </w:p>
        </w:tc>
        <w:tc>
          <w:tcPr>
            <w:tcW w:w="3261" w:type="dxa"/>
          </w:tcPr>
          <w:p w14:paraId="769DDA68" w14:textId="77777777" w:rsidR="001E756B" w:rsidRDefault="00BB7B67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tan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den>
                  </m:f>
                </m:e>
              </m:d>
            </m:oMath>
          </w:p>
        </w:tc>
      </w:tr>
      <w:tr w:rsidR="001E756B" w14:paraId="73730497" w14:textId="77777777" w:rsidTr="00B6228D">
        <w:trPr>
          <w:trHeight w:val="2160"/>
        </w:trPr>
        <w:tc>
          <w:tcPr>
            <w:tcW w:w="3260" w:type="dxa"/>
          </w:tcPr>
          <w:p w14:paraId="00DA8B3C" w14:textId="77777777" w:rsidR="001E756B" w:rsidRDefault="00BB7B67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sin </m:t>
              </m:r>
              <m:r>
                <w:rPr>
                  <w:rFonts w:ascii="Cambria Math" w:hAnsi="Cambria Math" w:cstheme="minorHAnsi"/>
                </w:rPr>
                <m:t>450°</m:t>
              </m:r>
            </m:oMath>
          </w:p>
        </w:tc>
        <w:tc>
          <w:tcPr>
            <w:tcW w:w="3261" w:type="dxa"/>
          </w:tcPr>
          <w:p w14:paraId="5B1C29E7" w14:textId="77777777" w:rsidR="001E756B" w:rsidRDefault="00790E0B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tan</m:t>
              </m:r>
              <m:r>
                <w:rPr>
                  <w:rFonts w:ascii="Cambria Math" w:hAnsi="Cambria Math" w:cstheme="minorHAnsi"/>
                </w:rPr>
                <m:t> 5π</m:t>
              </m:r>
            </m:oMath>
          </w:p>
        </w:tc>
        <w:tc>
          <w:tcPr>
            <w:tcW w:w="3261" w:type="dxa"/>
          </w:tcPr>
          <w:p w14:paraId="62806A18" w14:textId="77777777" w:rsidR="001E756B" w:rsidRDefault="00987199" w:rsidP="007A63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csc⁡(-180°)</m:t>
              </m:r>
            </m:oMath>
          </w:p>
        </w:tc>
      </w:tr>
    </w:tbl>
    <w:p w14:paraId="1E8407F3" w14:textId="77777777" w:rsidR="00D6590D" w:rsidRPr="007A63E1" w:rsidRDefault="00D6590D" w:rsidP="007A63E1">
      <w:pPr>
        <w:rPr>
          <w:rFonts w:asciiTheme="minorHAnsi" w:hAnsiTheme="minorHAnsi" w:cstheme="minorHAnsi"/>
        </w:rPr>
      </w:pPr>
    </w:p>
    <w:p w14:paraId="4A31A8C1" w14:textId="77777777" w:rsidR="00D717D3" w:rsidRDefault="00D717D3" w:rsidP="00D717D3">
      <w:pPr>
        <w:pStyle w:val="Heading1"/>
      </w:pPr>
      <w:r w:rsidRPr="002B400A">
        <w:t xml:space="preserve">Objective </w:t>
      </w:r>
      <w:r>
        <w:t>2</w:t>
      </w:r>
      <w:r w:rsidRPr="002B400A">
        <w:t xml:space="preserve">:  </w:t>
      </w:r>
      <w:r>
        <w:t xml:space="preserve">The </w:t>
      </w:r>
      <w:r w:rsidR="001A1CB9">
        <w:t xml:space="preserve">Signs of the </w:t>
      </w:r>
      <w:r>
        <w:t>Trigonometric Functions</w:t>
      </w:r>
    </w:p>
    <w:p w14:paraId="6E23C5C8" w14:textId="77777777" w:rsidR="00D717D3" w:rsidRDefault="00D717D3" w:rsidP="00D717D3">
      <w:pPr>
        <w:rPr>
          <w:rFonts w:asciiTheme="minorHAnsi" w:hAnsiTheme="minorHAnsi" w:cstheme="minorHAnsi"/>
        </w:rPr>
      </w:pPr>
    </w:p>
    <w:p w14:paraId="6D678968" w14:textId="77777777" w:rsidR="00196694" w:rsidRDefault="00D717D3" w:rsidP="001966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is not a quadrantal angle, the sign of a trigonometric function</w:t>
      </w:r>
      <w:r w:rsidR="00881FF2">
        <w:rPr>
          <w:rFonts w:asciiTheme="minorHAnsi" w:hAnsiTheme="minorHAnsi" w:cstheme="minorHAnsi"/>
        </w:rPr>
        <w:t xml:space="preserve">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depends on the quadrant in which the terminal side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lies. In all four quadrants, </w:t>
      </w:r>
      <m:oMath>
        <m:r>
          <w:rPr>
            <w:rFonts w:ascii="Cambria Math" w:hAnsi="Cambria Math" w:cstheme="minorHAnsi"/>
          </w:rPr>
          <m:t>r</m:t>
        </m:r>
      </m:oMath>
      <w:r>
        <w:rPr>
          <w:rFonts w:asciiTheme="minorHAnsi" w:hAnsiTheme="minorHAnsi" w:cstheme="minorHAnsi"/>
        </w:rPr>
        <w:t xml:space="preserve"> is positive. The signs of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y</m:t>
        </m:r>
      </m:oMath>
      <w:r>
        <w:rPr>
          <w:rFonts w:asciiTheme="minorHAnsi" w:hAnsiTheme="minorHAnsi" w:cstheme="minorHAnsi"/>
        </w:rPr>
        <w:t xml:space="preserve"> depend on the quadrant. </w:t>
      </w:r>
      <w:r w:rsidR="00196694">
        <w:rPr>
          <w:rFonts w:asciiTheme="minorHAnsi" w:hAnsiTheme="minorHAnsi" w:cstheme="minorHAnsi"/>
        </w:rPr>
        <w:t>So the sign</w:t>
      </w:r>
      <w:r w:rsidR="00364114">
        <w:rPr>
          <w:rFonts w:asciiTheme="minorHAnsi" w:hAnsiTheme="minorHAnsi" w:cstheme="minorHAnsi"/>
        </w:rPr>
        <w:t>s</w:t>
      </w:r>
      <w:r w:rsidR="00196694">
        <w:rPr>
          <w:rFonts w:asciiTheme="minorHAnsi" w:hAnsiTheme="minorHAnsi" w:cstheme="minorHAnsi"/>
        </w:rPr>
        <w:t xml:space="preserve"> of </w:t>
      </w:r>
      <m:oMath>
        <m:r>
          <w:rPr>
            <w:rFonts w:ascii="Cambria Math" w:hAnsi="Cambria Math" w:cstheme="minorHAnsi"/>
          </w:rPr>
          <m:t>x</m:t>
        </m:r>
      </m:oMath>
      <w:r w:rsidR="00196694"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y</m:t>
        </m:r>
      </m:oMath>
      <w:r w:rsidR="00196694">
        <w:rPr>
          <w:rFonts w:asciiTheme="minorHAnsi" w:hAnsiTheme="minorHAnsi" w:cstheme="minorHAnsi"/>
        </w:rPr>
        <w:t xml:space="preserve"> determine whether a trigonometric function is positive or negative. For example, in quadrant II, </w:t>
      </w:r>
      <m:oMath>
        <m:r>
          <w:rPr>
            <w:rFonts w:ascii="Cambria Math" w:hAnsi="Cambria Math" w:cstheme="minorHAnsi"/>
          </w:rPr>
          <m:t>x</m:t>
        </m:r>
      </m:oMath>
      <w:r w:rsidR="00196694">
        <w:rPr>
          <w:rFonts w:asciiTheme="minorHAnsi" w:hAnsiTheme="minorHAnsi" w:cstheme="minorHAnsi"/>
        </w:rPr>
        <w:t xml:space="preserve"> is negative, and </w:t>
      </w:r>
      <m:oMath>
        <m:r>
          <w:rPr>
            <w:rFonts w:ascii="Cambria Math" w:hAnsi="Cambria Math" w:cstheme="minorHAnsi"/>
          </w:rPr>
          <m:t>y</m:t>
        </m:r>
      </m:oMath>
      <w:r w:rsidR="00196694">
        <w:rPr>
          <w:rFonts w:asciiTheme="minorHAnsi" w:hAnsiTheme="minorHAnsi" w:cstheme="minorHAnsi"/>
        </w:rPr>
        <w:t xml:space="preserve"> is positive. Since </w:t>
      </w:r>
      <m:oMath>
        <m:r>
          <m:rPr>
            <m:sty m:val="p"/>
          </m:rPr>
          <w:rPr>
            <w:rFonts w:ascii="Cambria Math" w:hAnsi="Cambria Math" w:cstheme="minorHAnsi"/>
          </w:rPr>
          <m:t>sin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defined as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y</m:t>
            </m:r>
          </m:num>
          <m:den>
            <m:r>
              <w:rPr>
                <w:rFonts w:ascii="Cambria Math" w:hAnsi="Cambria Math" w:cstheme="minorHAnsi"/>
              </w:rPr>
              <m:t>r</m:t>
            </m:r>
          </m:den>
        </m:f>
      </m:oMath>
      <w:r w:rsidR="00196694">
        <w:rPr>
          <w:rFonts w:asciiTheme="minorHAnsi" w:hAnsiTheme="minorHAnsi" w:cstheme="min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inorHAnsi"/>
          </w:rPr>
          <m:t>sin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positive when </w:t>
      </w:r>
      <m:oMath>
        <m:r>
          <w:rPr>
            <w:rFonts w:ascii="Cambria Math" w:hAnsi="Cambria Math" w:cstheme="minorHAnsi"/>
          </w:rPr>
          <m:t>θ</m:t>
        </m:r>
      </m:oMath>
      <w:r w:rsidR="00196694">
        <w:rPr>
          <w:rFonts w:asciiTheme="minorHAnsi" w:hAnsiTheme="minorHAnsi" w:cstheme="minorHAnsi"/>
        </w:rPr>
        <w:t xml:space="preserve"> is in quadrant II. Since </w:t>
      </w:r>
      <m:oMath>
        <m:r>
          <m:rPr>
            <m:sty m:val="p"/>
          </m:rPr>
          <w:rPr>
            <w:rFonts w:ascii="Cambria Math" w:hAnsi="Cambria Math" w:cstheme="minorHAnsi"/>
          </w:rPr>
          <m:t>cos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defined as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</m:t>
            </m:r>
          </m:num>
          <m:den>
            <m:r>
              <w:rPr>
                <w:rFonts w:ascii="Cambria Math" w:hAnsi="Cambria Math" w:cstheme="minorHAnsi"/>
              </w:rPr>
              <m:t>r</m:t>
            </m:r>
          </m:den>
        </m:f>
      </m:oMath>
      <w:r w:rsidR="00196694">
        <w:rPr>
          <w:rFonts w:asciiTheme="minorHAnsi" w:hAnsiTheme="minorHAnsi" w:cstheme="min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inorHAnsi"/>
          </w:rPr>
          <m:t>cos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negative when </w:t>
      </w:r>
      <m:oMath>
        <m:r>
          <w:rPr>
            <w:rFonts w:ascii="Cambria Math" w:hAnsi="Cambria Math" w:cstheme="minorHAnsi"/>
          </w:rPr>
          <m:t>θ</m:t>
        </m:r>
      </m:oMath>
      <w:r w:rsidR="00196694">
        <w:rPr>
          <w:rFonts w:asciiTheme="minorHAnsi" w:hAnsiTheme="minorHAnsi" w:cstheme="minorHAnsi"/>
        </w:rPr>
        <w:t xml:space="preserve"> is in quadrant II. Since </w:t>
      </w:r>
      <m:oMath>
        <m:r>
          <m:rPr>
            <m:sty m:val="p"/>
          </m:rPr>
          <w:rPr>
            <w:rFonts w:ascii="Cambria Math" w:hAnsi="Cambria Math" w:cstheme="minorHAnsi"/>
          </w:rPr>
          <m:t>tan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defined as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y</m:t>
            </m:r>
          </m:num>
          <m:den>
            <m:r>
              <w:rPr>
                <w:rFonts w:ascii="Cambria Math" w:hAnsi="Cambria Math" w:cstheme="minorHAnsi"/>
              </w:rPr>
              <m:t>x</m:t>
            </m:r>
          </m:den>
        </m:f>
      </m:oMath>
      <w:r w:rsidR="00196694">
        <w:rPr>
          <w:rFonts w:asciiTheme="minorHAnsi" w:hAnsiTheme="minorHAnsi" w:cstheme="min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inorHAnsi"/>
          </w:rPr>
          <m:t>tan</m:t>
        </m:r>
        <m:r>
          <w:rPr>
            <w:rFonts w:ascii="Cambria Math" w:hAnsi="Cambria Math" w:cstheme="minorHAnsi"/>
          </w:rPr>
          <m:t> θ</m:t>
        </m:r>
      </m:oMath>
      <w:r w:rsidR="00196694">
        <w:rPr>
          <w:rFonts w:asciiTheme="minorHAnsi" w:hAnsiTheme="minorHAnsi" w:cstheme="minorHAnsi"/>
        </w:rPr>
        <w:t xml:space="preserve"> is also negative when </w:t>
      </w:r>
      <m:oMath>
        <m:r>
          <w:rPr>
            <w:rFonts w:ascii="Cambria Math" w:hAnsi="Cambria Math" w:cstheme="minorHAnsi"/>
          </w:rPr>
          <m:t>θ</m:t>
        </m:r>
      </m:oMath>
      <w:r w:rsidR="00196694">
        <w:rPr>
          <w:rFonts w:asciiTheme="minorHAnsi" w:hAnsiTheme="minorHAnsi" w:cstheme="minorHAnsi"/>
        </w:rPr>
        <w:t xml:space="preserve"> is in quadrant II. </w:t>
      </w:r>
    </w:p>
    <w:p w14:paraId="380F4F72" w14:textId="77777777" w:rsidR="008C4624" w:rsidRDefault="008C4624" w:rsidP="00196694">
      <w:pPr>
        <w:rPr>
          <w:rFonts w:asciiTheme="minorHAnsi" w:hAnsiTheme="minorHAnsi" w:cstheme="minorHAnsi"/>
        </w:rPr>
      </w:pPr>
    </w:p>
    <w:p w14:paraId="3E679B36" w14:textId="77777777" w:rsidR="009E4891" w:rsidRDefault="009E4891" w:rsidP="001966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graphic that follows summarizes </w:t>
      </w:r>
      <w:r w:rsidR="00F27895">
        <w:rPr>
          <w:rFonts w:asciiTheme="minorHAnsi" w:hAnsiTheme="minorHAnsi" w:cstheme="minorHAnsi"/>
        </w:rPr>
        <w:t>which of the trigonometric functions are positive in each quadrant.</w:t>
      </w:r>
    </w:p>
    <w:p w14:paraId="27BA3572" w14:textId="77777777" w:rsidR="00F27895" w:rsidRDefault="00F27895" w:rsidP="00196694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38AF6AE" wp14:editId="65265B75">
            <wp:extent cx="5212532" cy="2316681"/>
            <wp:effectExtent l="0" t="0" r="7620" b="7620"/>
            <wp:docPr id="1" name="Picture 1" descr="graphical display of the information above on an x y coordinat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2E67.t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10D30" w14:textId="77777777" w:rsidR="00BB4E5E" w:rsidRDefault="00BB4E5E" w:rsidP="00BB4E5E">
      <w:pPr>
        <w:spacing w:after="800"/>
        <w:rPr>
          <w:rFonts w:asciiTheme="minorHAnsi" w:hAnsiTheme="minorHAnsi" w:cstheme="minorHAnsi"/>
        </w:rPr>
      </w:pPr>
    </w:p>
    <w:p w14:paraId="1683BBD0" w14:textId="77777777" w:rsidR="00ED3F1F" w:rsidRDefault="007F6D94" w:rsidP="007F6D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Let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be an angle in standard position. Name the quadrant in which the terminal side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lies.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580BC5" w14:paraId="739E262D" w14:textId="77777777" w:rsidTr="00BB4E5E">
        <w:trPr>
          <w:trHeight w:val="2160"/>
        </w:trPr>
        <w:tc>
          <w:tcPr>
            <w:tcW w:w="4891" w:type="dxa"/>
          </w:tcPr>
          <w:p w14:paraId="56C8D814" w14:textId="77777777" w:rsidR="00580BC5" w:rsidRPr="007F6D94" w:rsidRDefault="00580BC5" w:rsidP="00580BC5">
            <w:pPr>
              <w:rPr>
                <w:rFonts w:asciiTheme="minorHAnsi" w:hAnsiTheme="minorHAnsi" w:cstheme="minorHAnsi"/>
              </w:rPr>
            </w:pPr>
            <w:r w:rsidRPr="007F6D94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cos</m:t>
              </m:r>
              <m:r>
                <w:rPr>
                  <w:rFonts w:ascii="Cambria Math" w:hAnsi="Cambria Math" w:cstheme="minorHAnsi"/>
                </w:rPr>
                <m:t> θ&gt;0</m:t>
              </m:r>
            </m:oMath>
            <w:r>
              <w:rPr>
                <w:rFonts w:asciiTheme="minorHAnsi" w:hAnsiTheme="minorHAnsi" w:cstheme="minorHAnsi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tan</m:t>
              </m:r>
              <m:r>
                <w:rPr>
                  <w:rFonts w:ascii="Cambria Math" w:hAnsi="Cambria Math" w:cstheme="minorHAnsi"/>
                </w:rPr>
                <m:t> θ&lt;0</m:t>
              </m:r>
            </m:oMath>
          </w:p>
          <w:p w14:paraId="721655F9" w14:textId="77777777" w:rsidR="00580BC5" w:rsidRDefault="00580BC5" w:rsidP="007F6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1" w:type="dxa"/>
          </w:tcPr>
          <w:p w14:paraId="5DED2213" w14:textId="77777777" w:rsidR="00580BC5" w:rsidRPr="007F6D94" w:rsidRDefault="00580BC5" w:rsidP="00580B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7F6D9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cot</w:t>
            </w:r>
            <m:oMath>
              <m:r>
                <w:rPr>
                  <w:rFonts w:ascii="Cambria Math" w:hAnsi="Cambria Math" w:cstheme="minorHAnsi"/>
                </w:rPr>
                <m:t> θ&gt;0</m:t>
              </m:r>
            </m:oMath>
            <w:r>
              <w:rPr>
                <w:rFonts w:asciiTheme="minorHAnsi" w:hAnsiTheme="minorHAnsi" w:cstheme="minorHAnsi"/>
              </w:rPr>
              <w:t xml:space="preserve"> and csc</w:t>
            </w:r>
            <m:oMath>
              <m:r>
                <w:rPr>
                  <w:rFonts w:ascii="Cambria Math" w:hAnsi="Cambria Math" w:cstheme="minorHAnsi"/>
                </w:rPr>
                <m:t> θ&lt;0</m:t>
              </m:r>
            </m:oMath>
          </w:p>
          <w:p w14:paraId="6D410D0A" w14:textId="77777777" w:rsidR="00580BC5" w:rsidRDefault="00580BC5" w:rsidP="007F6D94">
            <w:pPr>
              <w:rPr>
                <w:rFonts w:asciiTheme="minorHAnsi" w:hAnsiTheme="minorHAnsi" w:cstheme="minorHAnsi"/>
              </w:rPr>
            </w:pPr>
          </w:p>
        </w:tc>
      </w:tr>
    </w:tbl>
    <w:p w14:paraId="152B7BC5" w14:textId="77777777" w:rsidR="00580BC5" w:rsidRDefault="001F1E2D" w:rsidP="007F6D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Find the exact values of the remaining trigonometric functions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>.</w:t>
      </w:r>
    </w:p>
    <w:p w14:paraId="4037EBF0" w14:textId="77777777" w:rsidR="001F1E2D" w:rsidRDefault="001F1E2D" w:rsidP="00BB4E5E">
      <w:pPr>
        <w:spacing w:after="4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</w:t>
      </w:r>
      <m:oMath>
        <m:r>
          <m:rPr>
            <m:sty m:val="p"/>
          </m:rPr>
          <w:rPr>
            <w:rFonts w:ascii="Cambria Math" w:hAnsi="Cambria Math" w:cstheme="minorHAnsi"/>
          </w:rPr>
          <m:t>sin</m:t>
        </m:r>
        <m:r>
          <w:rPr>
            <w:rFonts w:ascii="Cambria Math" w:hAnsi="Cambria Math" w:cstheme="minorHAnsi"/>
          </w:rPr>
          <m:t> θ=-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25</m:t>
            </m:r>
          </m:den>
        </m:f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is in quadrant III</w:t>
      </w:r>
    </w:p>
    <w:p w14:paraId="3C6338F2" w14:textId="77777777" w:rsidR="001F1E2D" w:rsidRDefault="001F1E2D" w:rsidP="00BB4E5E">
      <w:pPr>
        <w:spacing w:after="5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</w:t>
      </w:r>
      <m:oMath>
        <m:r>
          <m:rPr>
            <m:sty m:val="p"/>
          </m:rPr>
          <w:rPr>
            <w:rFonts w:ascii="Cambria Math" w:hAnsi="Cambria Math" w:cstheme="minorHAnsi"/>
          </w:rPr>
          <m:t>sec</m:t>
        </m:r>
        <m:r>
          <w:rPr>
            <w:rFonts w:ascii="Cambria Math" w:hAnsi="Cambria Math" w:cstheme="minorHAnsi"/>
          </w:rPr>
          <m:t> θ=4</m:t>
        </m:r>
      </m:oMath>
      <w:r>
        <w:rPr>
          <w:rFonts w:asciiTheme="minorHAnsi" w:hAnsiTheme="minorHAnsi" w:cstheme="minorHAnsi"/>
        </w:rPr>
        <w:t xml:space="preserve"> and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3π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&lt;θ&lt;2π</m:t>
        </m:r>
      </m:oMath>
    </w:p>
    <w:p w14:paraId="458C5ED3" w14:textId="77777777" w:rsidR="001F1E2D" w:rsidRDefault="001F1E2D" w:rsidP="00BB4E5E">
      <w:pPr>
        <w:spacing w:after="4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e. </w:t>
      </w:r>
      <m:oMath>
        <m:r>
          <m:rPr>
            <m:sty m:val="p"/>
          </m:rPr>
          <w:rPr>
            <w:rFonts w:ascii="Cambria Math" w:hAnsi="Cambria Math" w:cstheme="minorHAnsi"/>
          </w:rPr>
          <m:t>tan</m:t>
        </m:r>
        <m:r>
          <w:rPr>
            <w:rFonts w:ascii="Cambria Math" w:hAnsi="Cambria Math" w:cstheme="minorHAnsi"/>
          </w:rPr>
          <m:t> θ=-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5</m:t>
            </m:r>
          </m:den>
        </m:f>
      </m:oMath>
      <w:r>
        <w:rPr>
          <w:rFonts w:asciiTheme="minorHAnsi" w:hAnsiTheme="minorHAnsi" w:cstheme="minorHAnsi"/>
        </w:rPr>
        <w:t xml:space="preserve"> and </w:t>
      </w:r>
      <m:oMath>
        <m:r>
          <m:rPr>
            <m:sty m:val="p"/>
          </m:rPr>
          <w:rPr>
            <w:rFonts w:ascii="Cambria Math" w:hAnsi="Cambria Math" w:cstheme="minorHAnsi"/>
          </w:rPr>
          <m:t>csc</m:t>
        </m:r>
        <m:r>
          <w:rPr>
            <w:rFonts w:ascii="Cambria Math" w:hAnsi="Cambria Math" w:cstheme="minorHAnsi"/>
          </w:rPr>
          <m:t> θ&gt;0</m:t>
        </m:r>
      </m:oMath>
    </w:p>
    <w:p w14:paraId="351EA65C" w14:textId="77777777" w:rsidR="001F1E2D" w:rsidRPr="007F6D94" w:rsidRDefault="001F1E2D" w:rsidP="007F6D94">
      <w:pPr>
        <w:rPr>
          <w:rFonts w:asciiTheme="minorHAnsi" w:hAnsiTheme="minorHAnsi" w:cstheme="minorHAnsi"/>
        </w:rPr>
      </w:pPr>
    </w:p>
    <w:p w14:paraId="73E0EBDD" w14:textId="77777777" w:rsidR="00D243F3" w:rsidRDefault="00D243F3" w:rsidP="00D243F3">
      <w:pPr>
        <w:pStyle w:val="Heading1"/>
      </w:pPr>
      <w:r w:rsidRPr="002B400A">
        <w:t xml:space="preserve">Objective </w:t>
      </w:r>
      <w:r>
        <w:t xml:space="preserve">3:  Reference Angles </w:t>
      </w:r>
    </w:p>
    <w:p w14:paraId="16C57253" w14:textId="77777777" w:rsidR="00D243F3" w:rsidRDefault="00D243F3" w:rsidP="00D243F3">
      <w:pPr>
        <w:rPr>
          <w:rFonts w:asciiTheme="minorHAnsi" w:hAnsiTheme="minorHAnsi" w:cstheme="minorHAnsi"/>
        </w:rPr>
      </w:pPr>
    </w:p>
    <w:p w14:paraId="2FBFA981" w14:textId="77777777" w:rsidR="00C31DBE" w:rsidRDefault="00D243F3" w:rsidP="00D243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evaluate trigonometric functions for </w:t>
      </w:r>
      <w:r w:rsidR="00CA3246">
        <w:rPr>
          <w:rFonts w:asciiTheme="minorHAnsi" w:hAnsiTheme="minorHAnsi" w:cstheme="minorHAnsi"/>
        </w:rPr>
        <w:t xml:space="preserve">non-quadrantal </w:t>
      </w:r>
      <w:r>
        <w:rPr>
          <w:rFonts w:asciiTheme="minorHAnsi" w:hAnsiTheme="minorHAnsi" w:cstheme="minorHAnsi"/>
        </w:rPr>
        <w:t xml:space="preserve">angles </w:t>
      </w:r>
      <w:r w:rsidR="00CA3246">
        <w:rPr>
          <w:rFonts w:asciiTheme="minorHAnsi" w:hAnsiTheme="minorHAnsi" w:cstheme="minorHAnsi"/>
        </w:rPr>
        <w:t xml:space="preserve">greater than </w:t>
      </w:r>
      <m:oMath>
        <m:r>
          <w:rPr>
            <w:rFonts w:ascii="Cambria Math" w:hAnsi="Cambria Math" w:cstheme="minorHAnsi"/>
          </w:rPr>
          <m:t>90°</m:t>
        </m:r>
      </m:oMath>
      <w:r w:rsidR="00CA3246">
        <w:rPr>
          <w:rFonts w:asciiTheme="minorHAnsi" w:hAnsiTheme="minorHAnsi" w:cstheme="minorHAnsi"/>
        </w:rPr>
        <w:t xml:space="preserve"> or less than </w:t>
      </w:r>
      <m:oMath>
        <m:r>
          <w:rPr>
            <w:rFonts w:ascii="Cambria Math" w:hAnsi="Cambria Math" w:cstheme="minorHAnsi"/>
          </w:rPr>
          <m:t>0°</m:t>
        </m:r>
      </m:oMath>
      <w:r w:rsidR="00CA3246">
        <w:rPr>
          <w:rFonts w:asciiTheme="minorHAnsi" w:hAnsiTheme="minorHAnsi" w:cstheme="minorHAnsi"/>
        </w:rPr>
        <w:t xml:space="preserve">, we will need to make use of a positive acute angle called the </w:t>
      </w:r>
      <w:r w:rsidR="00CA3246" w:rsidRPr="00CA3246">
        <w:rPr>
          <w:rFonts w:asciiTheme="minorHAnsi" w:hAnsiTheme="minorHAnsi" w:cstheme="minorHAnsi"/>
          <w:b/>
        </w:rPr>
        <w:t>reference angle</w:t>
      </w:r>
      <w:r w:rsidR="00CA3246">
        <w:rPr>
          <w:rFonts w:asciiTheme="minorHAnsi" w:hAnsiTheme="minorHAnsi" w:cstheme="minorHAnsi"/>
        </w:rPr>
        <w:t xml:space="preserve">. </w:t>
      </w:r>
    </w:p>
    <w:p w14:paraId="66D67B0D" w14:textId="77777777" w:rsidR="00CA3246" w:rsidRDefault="00CA3246" w:rsidP="00D243F3">
      <w:pPr>
        <w:rPr>
          <w:rFonts w:asciiTheme="minorHAnsi" w:hAnsiTheme="minorHAnsi" w:cstheme="minorHAnsi"/>
        </w:rPr>
      </w:pPr>
    </w:p>
    <w:p w14:paraId="4D3B7C9C" w14:textId="77777777" w:rsidR="00CA3246" w:rsidRDefault="00CA3246" w:rsidP="00D243F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Definition of a Reference Angle:</w:t>
      </w:r>
    </w:p>
    <w:p w14:paraId="7E28532C" w14:textId="77777777" w:rsidR="00CA3246" w:rsidRDefault="00CA3246" w:rsidP="00D243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be a</w:t>
      </w:r>
      <w:r w:rsidR="00364114">
        <w:rPr>
          <w:rFonts w:asciiTheme="minorHAnsi" w:hAnsiTheme="minorHAnsi" w:cstheme="minorHAnsi"/>
        </w:rPr>
        <w:t xml:space="preserve">n </w:t>
      </w:r>
      <w:r>
        <w:rPr>
          <w:rFonts w:asciiTheme="minorHAnsi" w:hAnsiTheme="minorHAnsi" w:cstheme="minorHAnsi"/>
        </w:rPr>
        <w:t>angle in standard positi</w:t>
      </w:r>
      <w:r w:rsidR="00BB4E5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n that lies in a quadrant. Its reference angle is the positive acute angle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R</m:t>
            </m:r>
          </m:sub>
        </m:sSub>
      </m:oMath>
      <w:r>
        <w:rPr>
          <w:rFonts w:asciiTheme="minorHAnsi" w:hAnsiTheme="minorHAnsi" w:cstheme="minorHAnsi"/>
        </w:rPr>
        <w:t xml:space="preserve"> formed by the terminal side of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and the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-axis. </w:t>
      </w:r>
    </w:p>
    <w:p w14:paraId="6C0BAB67" w14:textId="77777777" w:rsidR="001E6117" w:rsidRDefault="001E6117" w:rsidP="00D243F3">
      <w:pPr>
        <w:rPr>
          <w:rFonts w:asciiTheme="minorHAnsi" w:hAnsiTheme="minorHAnsi" w:cstheme="minorHAnsi"/>
        </w:rPr>
      </w:pPr>
    </w:p>
    <w:p w14:paraId="16BB8854" w14:textId="77777777" w:rsidR="001E6117" w:rsidRDefault="001E6117" w:rsidP="00D243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graphs below show the reference angle for </w:t>
      </w:r>
      <w:r w:rsidR="00714208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 xml:space="preserve">angle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C</m:t>
            </m:r>
          </m:sub>
        </m:sSub>
      </m:oMath>
      <w:r>
        <w:rPr>
          <w:rFonts w:asciiTheme="minorHAnsi" w:hAnsiTheme="minorHAnsi" w:cstheme="minorHAnsi"/>
        </w:rPr>
        <w:t xml:space="preserve"> in each quadrant. </w:t>
      </w:r>
      <w:r w:rsidR="00C875D7">
        <w:rPr>
          <w:rFonts w:asciiTheme="minorHAnsi" w:hAnsiTheme="minorHAnsi" w:cstheme="minorHAnsi"/>
        </w:rPr>
        <w:t xml:space="preserve">Note that quadrantal angles do not have a reference angle. </w:t>
      </w:r>
    </w:p>
    <w:p w14:paraId="3369C65F" w14:textId="77777777" w:rsidR="001E6117" w:rsidRDefault="001E6117" w:rsidP="00D243F3">
      <w:pPr>
        <w:rPr>
          <w:rFonts w:asciiTheme="minorHAnsi" w:hAnsiTheme="minorHAnsi" w:cstheme="minorHAnsi"/>
        </w:rPr>
      </w:pPr>
    </w:p>
    <w:p w14:paraId="7BEC0BC4" w14:textId="77777777" w:rsidR="00714208" w:rsidRPr="00A95EBB" w:rsidRDefault="00714208" w:rsidP="00714208">
      <w:pPr>
        <w:ind w:left="720" w:hanging="720"/>
        <w:rPr>
          <w:rFonts w:asciiTheme="minorHAnsi" w:hAnsiTheme="minorHAnsi" w:cstheme="minorHAnsi"/>
        </w:rPr>
      </w:pP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0B8F8713" wp14:editId="1C3DA923">
            <wp:extent cx="2166025" cy="2053590"/>
            <wp:effectExtent l="0" t="0" r="5715" b="3810"/>
            <wp:docPr id="16" name="Picture 15" descr="Case 1:  A graph of theta subscript C measured counterclockwise from the initial ray along the positive x-axis to the terminal ray pointing top right in quadrant 1. Theta subscript script R equals theta subscript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graph of theta subscript C measured counterclockwise from the initial ray along the positive x-axis to the terminal ray pointing top right in quadrant 1. Theta subscript script R equals theta subscript C."/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60035" b="34796"/>
                    <a:stretch/>
                  </pic:blipFill>
                  <pic:spPr bwMode="auto">
                    <a:xfrm>
                      <a:off x="0" y="0"/>
                      <a:ext cx="2170232" cy="205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048E7744" wp14:editId="68820D1E">
            <wp:extent cx="3151253" cy="2000250"/>
            <wp:effectExtent l="0" t="0" r="0" b="0"/>
            <wp:docPr id="8" name="Picture 16" descr="Case 2:  A graph of theta subscript C measured counterclockwise from the initial ray along the positive x-axis to the terminal ray pointing top left in quadrant 2. Theta subscript R equals pi minus theta subscript C and is measured counterclockwise from the terminal ray to the negative x-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graph of theta subscript C measured counterclockwise from the initial ray along the positive x-axis to the terminal ray pointing top left in quadrant 2. Theta subscript R equals pi minus theta subscript C and is measured counterclockwise from the terminal ray to the negative x-axis."/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3" t="1" r="2541" b="36459"/>
                    <a:stretch/>
                  </pic:blipFill>
                  <pic:spPr bwMode="auto">
                    <a:xfrm>
                      <a:off x="0" y="0"/>
                      <a:ext cx="3161067" cy="200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C5591" w14:textId="77777777" w:rsidR="00714208" w:rsidRPr="00A95EBB" w:rsidRDefault="00714208" w:rsidP="00714208">
      <w:pPr>
        <w:rPr>
          <w:rFonts w:asciiTheme="minorHAnsi" w:hAnsiTheme="minorHAnsi" w:cstheme="minorHAnsi"/>
        </w:rPr>
      </w:pPr>
      <w:r w:rsidRPr="00415BF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03E388C" wp14:editId="4E0C4E57">
            <wp:extent cx="2598421" cy="2125980"/>
            <wp:effectExtent l="0" t="0" r="0" b="7620"/>
            <wp:docPr id="9" name="Picture 17" descr="Case 3:  A graph of theta subscript C measured counterclockwise from the initial ray along the positive x-axis to the terminal ray pointing bottom left in quadrant 3. Theta subscript R equals theta subscript C minus pi and is measured counterclockwise from the negative x-axis to the termin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graph of theta subscript C measured counterclockwise from the initial ray along the positive x-axis to the terminal ray pointing bottom left in quadrant 3. Theta subscript R equals theta subscript C minus pi and is measured counterclockwise from the negative x-axis to the terminal ray."/>
                    <pic:cNvPicPr>
                      <a:picLocks noChangeAspect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63" b="28000"/>
                    <a:stretch/>
                  </pic:blipFill>
                  <pic:spPr>
                    <a:xfrm>
                      <a:off x="0" y="0"/>
                      <a:ext cx="2598421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492646A2" wp14:editId="5C708553">
            <wp:extent cx="2896313" cy="2190750"/>
            <wp:effectExtent l="0" t="0" r="0" b="0"/>
            <wp:docPr id="19" name="Picture 18" descr="Case 4:  A graph of theta subscript C measured counterclockwise from the initial ray along the positive x-axis to the terminal ray pointing bottom right in quadrant 4. Theta subscript R equals 2 pi minus theta subscript C and is measured counterclockwise from the terminal ray to the initi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graph of theta subscript C measured counterclockwise from the initial ray along the positive x-axis to the terminal ray pointing bottom right in quadrant 4. Theta subscript R equals 2 pi minus theta subscript C and is measured counterclockwise from the terminal ray to the initial ray."/>
                    <pic:cNvPicPr>
                      <a:picLocks noChangeAspect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3" b="26000"/>
                    <a:stretch/>
                  </pic:blipFill>
                  <pic:spPr>
                    <a:xfrm>
                      <a:off x="0" y="0"/>
                      <a:ext cx="2911090" cy="220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5CCB" w14:textId="77777777" w:rsidR="001E6117" w:rsidRDefault="001E6117" w:rsidP="00D243F3">
      <w:pPr>
        <w:rPr>
          <w:rFonts w:asciiTheme="minorHAnsi" w:hAnsiTheme="minorHAnsi" w:cstheme="minorHAnsi"/>
        </w:rPr>
      </w:pPr>
    </w:p>
    <w:p w14:paraId="39E3854E" w14:textId="77777777" w:rsidR="00714208" w:rsidRDefault="00714208" w:rsidP="00D243F3">
      <w:pPr>
        <w:rPr>
          <w:rFonts w:asciiTheme="minorHAnsi" w:hAnsiTheme="minorHAnsi" w:cstheme="minorHAnsi"/>
        </w:rPr>
      </w:pPr>
    </w:p>
    <w:p w14:paraId="687DC598" w14:textId="77777777" w:rsidR="00C875D7" w:rsidRDefault="00C875D7" w:rsidP="00D243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Find the reference angle.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C875D7" w14:paraId="401A7115" w14:textId="77777777" w:rsidTr="00364114">
        <w:trPr>
          <w:trHeight w:val="3024"/>
        </w:trPr>
        <w:tc>
          <w:tcPr>
            <w:tcW w:w="4891" w:type="dxa"/>
          </w:tcPr>
          <w:p w14:paraId="3C124444" w14:textId="77777777" w:rsidR="00C875D7" w:rsidRPr="00C875D7" w:rsidRDefault="00C875D7" w:rsidP="00C875D7">
            <w:pPr>
              <w:rPr>
                <w:rFonts w:asciiTheme="minorHAnsi" w:hAnsiTheme="minorHAnsi" w:cstheme="minorHAnsi"/>
              </w:rPr>
            </w:pPr>
            <w:r w:rsidRPr="00C875D7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298°</m:t>
              </m:r>
            </m:oMath>
          </w:p>
        </w:tc>
        <w:tc>
          <w:tcPr>
            <w:tcW w:w="4891" w:type="dxa"/>
          </w:tcPr>
          <w:p w14:paraId="23D1BBB2" w14:textId="77777777" w:rsidR="00C875D7" w:rsidRDefault="00C875D7" w:rsidP="00D24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</w:p>
        </w:tc>
      </w:tr>
      <w:tr w:rsidR="00C875D7" w14:paraId="653AD328" w14:textId="77777777" w:rsidTr="00364114">
        <w:trPr>
          <w:trHeight w:val="3024"/>
        </w:trPr>
        <w:tc>
          <w:tcPr>
            <w:tcW w:w="4891" w:type="dxa"/>
          </w:tcPr>
          <w:p w14:paraId="51710F2A" w14:textId="77777777" w:rsidR="00C875D7" w:rsidRDefault="00C875D7" w:rsidP="00D24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c. </w:t>
            </w:r>
            <m:oMath>
              <m:r>
                <w:rPr>
                  <w:rFonts w:ascii="Cambria Math" w:hAnsi="Cambria Math" w:cstheme="minorHAnsi"/>
                </w:rPr>
                <m:t>-185°</m:t>
              </m:r>
            </m:oMath>
          </w:p>
        </w:tc>
        <w:tc>
          <w:tcPr>
            <w:tcW w:w="4891" w:type="dxa"/>
          </w:tcPr>
          <w:p w14:paraId="795FA49B" w14:textId="77777777" w:rsidR="00C875D7" w:rsidRDefault="00C875D7" w:rsidP="00D24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7</m:t>
                  </m:r>
                </m:den>
              </m:f>
            </m:oMath>
          </w:p>
        </w:tc>
      </w:tr>
      <w:tr w:rsidR="00C875D7" w14:paraId="5664729F" w14:textId="77777777" w:rsidTr="00364114">
        <w:trPr>
          <w:trHeight w:val="3024"/>
        </w:trPr>
        <w:tc>
          <w:tcPr>
            <w:tcW w:w="4891" w:type="dxa"/>
          </w:tcPr>
          <w:p w14:paraId="1CC38152" w14:textId="77777777" w:rsidR="00C875D7" w:rsidRDefault="00C875D7" w:rsidP="00D24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</w:t>
            </w:r>
            <m:oMath>
              <m:r>
                <w:rPr>
                  <w:rFonts w:ascii="Cambria Math" w:hAnsi="Cambria Math" w:cstheme="minorHAnsi"/>
                </w:rPr>
                <m:t>1045°</m:t>
              </m:r>
            </m:oMath>
          </w:p>
        </w:tc>
        <w:tc>
          <w:tcPr>
            <w:tcW w:w="4891" w:type="dxa"/>
          </w:tcPr>
          <w:p w14:paraId="1344EDD3" w14:textId="77777777" w:rsidR="00C875D7" w:rsidRDefault="00F019A6" w:rsidP="00D24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f. </w:t>
            </w:r>
            <m:oMath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13π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</w:p>
        </w:tc>
      </w:tr>
    </w:tbl>
    <w:p w14:paraId="668E15BA" w14:textId="77777777" w:rsidR="00A35128" w:rsidRDefault="00A35128" w:rsidP="00A35128">
      <w:pPr>
        <w:pStyle w:val="Heading1"/>
      </w:pPr>
      <w:r w:rsidRPr="002B400A">
        <w:lastRenderedPageBreak/>
        <w:t xml:space="preserve">Objective </w:t>
      </w:r>
      <w:r>
        <w:t xml:space="preserve">4:  Evaluating Trigonometric Functions Using Reference Angles </w:t>
      </w:r>
    </w:p>
    <w:p w14:paraId="73E463D9" w14:textId="77777777" w:rsidR="00A35128" w:rsidRDefault="00A35128" w:rsidP="00A35128">
      <w:pPr>
        <w:rPr>
          <w:rFonts w:asciiTheme="minorHAnsi" w:hAnsiTheme="minorHAnsi" w:cstheme="minorHAnsi"/>
        </w:rPr>
      </w:pPr>
    </w:p>
    <w:p w14:paraId="1BD76F86" w14:textId="77777777" w:rsidR="00C875D7" w:rsidRDefault="000238F8" w:rsidP="00A35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values of the trigonometric functions of a given angle </w:t>
      </w:r>
      <m:oMath>
        <m:r>
          <w:rPr>
            <w:rFonts w:ascii="Cambria Math" w:hAnsi="Cambria Math" w:cstheme="minorHAnsi"/>
          </w:rPr>
          <m:t>θ</m:t>
        </m:r>
      </m:oMath>
      <w:r>
        <w:rPr>
          <w:rFonts w:asciiTheme="minorHAnsi" w:hAnsiTheme="minorHAnsi" w:cstheme="minorHAnsi"/>
        </w:rPr>
        <w:t xml:space="preserve"> are the same as the values of the trigonometric functions of its reference angle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θ</m:t>
            </m:r>
          </m:e>
          <m:sub>
            <m:r>
              <w:rPr>
                <w:rFonts w:ascii="Cambria Math" w:hAnsi="Cambria Math" w:cstheme="minorHAnsi"/>
              </w:rPr>
              <m:t>R</m:t>
            </m:r>
          </m:sub>
        </m:sSub>
      </m:oMath>
      <w:r>
        <w:rPr>
          <w:rFonts w:asciiTheme="minorHAnsi" w:hAnsiTheme="minorHAnsi" w:cstheme="minorHAnsi"/>
        </w:rPr>
        <w:t xml:space="preserve"> except possibly for the sign. </w:t>
      </w:r>
    </w:p>
    <w:p w14:paraId="32DE2C8A" w14:textId="77777777" w:rsidR="000238F8" w:rsidRDefault="000238F8" w:rsidP="00A35128">
      <w:pPr>
        <w:rPr>
          <w:rFonts w:asciiTheme="minorHAnsi" w:hAnsiTheme="minorHAnsi" w:cstheme="minorHAnsi"/>
        </w:rPr>
      </w:pPr>
    </w:p>
    <w:p w14:paraId="105F8134" w14:textId="77777777" w:rsidR="000238F8" w:rsidRDefault="000238F8" w:rsidP="00A35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example, suppose we are </w:t>
      </w:r>
      <w:r w:rsidR="00BB4E5E">
        <w:rPr>
          <w:rFonts w:asciiTheme="minorHAnsi" w:hAnsiTheme="minorHAnsi" w:cstheme="minorHAnsi"/>
        </w:rPr>
        <w:t>trying to find</w:t>
      </w:r>
      <w:r>
        <w:rPr>
          <w:rFonts w:asciiTheme="minorHAnsi" w:hAnsiTheme="minorHAnsi" w:cstheme="minorHAnsi"/>
        </w:rPr>
        <w:t xml:space="preserve"> the value of </w:t>
      </w:r>
      <m:oMath>
        <m:r>
          <m:rPr>
            <m:sty m:val="p"/>
          </m:rPr>
          <w:rPr>
            <w:rFonts w:ascii="Cambria Math" w:hAnsi="Cambria Math" w:cstheme="minorHAnsi"/>
          </w:rPr>
          <m:t>sin 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asciiTheme="minorHAnsi" w:hAnsiTheme="minorHAnsi" w:cstheme="minorHAnsi"/>
        </w:rPr>
        <w:t xml:space="preserve"> and </w:t>
      </w:r>
      <m:oMath>
        <m:r>
          <m:rPr>
            <m:sty m:val="p"/>
          </m:rPr>
          <w:rPr>
            <w:rFonts w:ascii="Cambria Math" w:hAnsi="Cambria Math" w:cstheme="minorHAnsi"/>
          </w:rPr>
          <m:t>cos 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asciiTheme="minorHAnsi" w:hAnsiTheme="minorHAnsi" w:cstheme="minorHAnsi"/>
        </w:rPr>
        <w:t xml:space="preserve">. We can find the reference angle of </w:t>
      </w:r>
      <m:oMath>
        <m:r>
          <m:rPr>
            <m:sty m:val="p"/>
          </m:rPr>
          <w:rPr>
            <w:rFonts w:ascii="Cambria Math" w:hAnsi="Cambria Math" w:cstheme="minorHAnsi"/>
          </w:rPr>
          <m:t> 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asciiTheme="minorHAnsi" w:hAnsiTheme="minorHAnsi" w:cstheme="minorHAnsi"/>
        </w:rPr>
        <w:t xml:space="preserve">. </w:t>
      </w:r>
    </w:p>
    <w:p w14:paraId="3AEC5DEA" w14:textId="77777777" w:rsidR="000238F8" w:rsidRPr="000238F8" w:rsidRDefault="001967C9" w:rsidP="00A35128">
      <w:pPr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θ</m:t>
              </m:r>
            </m:e>
            <m:sub>
              <m:r>
                <w:rPr>
                  <w:rFonts w:ascii="Cambria Math" w:hAnsi="Cambria Math" w:cstheme="minorHAnsi"/>
                </w:rPr>
                <m:t>R</m:t>
              </m:r>
            </m:sub>
          </m:sSub>
          <m:r>
            <w:rPr>
              <w:rFonts w:ascii="Cambria Math" w:hAnsi="Cambria Math" w:cstheme="minorHAnsi"/>
            </w:rPr>
            <m:t>=π-</m:t>
          </m:r>
          <m:r>
            <m:rPr>
              <m:sty m:val="p"/>
            </m:rPr>
            <w:rPr>
              <w:rFonts w:ascii="Cambria Math" w:hAnsi="Cambria Math" w:cstheme="minorHAnsi"/>
            </w:rPr>
            <m:t> 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</m:oMath>
      </m:oMathPara>
    </w:p>
    <w:p w14:paraId="18DBB26D" w14:textId="126E3667" w:rsidR="000238F8" w:rsidRDefault="00383EA6" w:rsidP="00A35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trigonometric functions for all angles with a reference angle of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asciiTheme="minorHAnsi" w:hAnsiTheme="minorHAnsi" w:cstheme="minorHAnsi"/>
        </w:rPr>
        <w:t xml:space="preserve"> will have the same values</w:t>
      </w:r>
      <w:r w:rsidR="0050331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except for the sign</w:t>
      </w:r>
      <w:r w:rsidR="00A0447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will vary depending on the quadrant. </w:t>
      </w:r>
      <w:r w:rsidR="000238F8">
        <w:rPr>
          <w:rFonts w:asciiTheme="minorHAnsi" w:hAnsiTheme="minorHAnsi" w:cstheme="minorHAnsi"/>
        </w:rPr>
        <w:t xml:space="preserve">Because the terminal side of </w:t>
      </w:r>
      <m:oMath>
        <m:r>
          <w:rPr>
            <w:rFonts w:ascii="Cambria Math" w:hAnsi="Cambria Math" w:cstheme="minorHAnsi"/>
          </w:rPr>
          <m:t>θ</m:t>
        </m:r>
      </m:oMath>
      <w:r w:rsidR="000238F8">
        <w:rPr>
          <w:rFonts w:asciiTheme="minorHAnsi" w:hAnsiTheme="minorHAnsi" w:cstheme="minorHAnsi"/>
        </w:rPr>
        <w:t xml:space="preserve"> lies in quadrant II, </w:t>
      </w:r>
      <m:oMath>
        <m:r>
          <m:rPr>
            <m:sty m:val="p"/>
          </m:rPr>
          <w:rPr>
            <w:rFonts w:ascii="Cambria Math" w:hAnsi="Cambria Math" w:cstheme="minorHAnsi"/>
          </w:rPr>
          <m:t>sin 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="000238F8">
        <w:rPr>
          <w:rFonts w:asciiTheme="minorHAnsi" w:hAnsiTheme="minorHAnsi" w:cstheme="minorHAnsi"/>
        </w:rPr>
        <w:t xml:space="preserve"> is positive and </w:t>
      </w:r>
      <m:oMath>
        <m:r>
          <m:rPr>
            <m:sty m:val="p"/>
          </m:rPr>
          <w:rPr>
            <w:rFonts w:ascii="Cambria Math" w:hAnsi="Cambria Math" w:cstheme="minorHAnsi"/>
          </w:rPr>
          <m:t>cos 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="000238F8">
        <w:rPr>
          <w:rFonts w:asciiTheme="minorHAnsi" w:hAnsiTheme="minorHAnsi" w:cstheme="minorHAnsi"/>
        </w:rPr>
        <w:t xml:space="preserve"> is negative.</w:t>
      </w:r>
      <w:r w:rsidR="00364114">
        <w:rPr>
          <w:rFonts w:asciiTheme="minorHAnsi" w:hAnsiTheme="minorHAnsi" w:cstheme="minorHAnsi"/>
        </w:rPr>
        <w:t xml:space="preserve"> </w:t>
      </w:r>
    </w:p>
    <w:p w14:paraId="3F58BFF6" w14:textId="77777777" w:rsidR="000238F8" w:rsidRPr="000238F8" w:rsidRDefault="000238F8" w:rsidP="000238F8">
      <w:pPr>
        <w:jc w:val="center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sin 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  <m:r>
            <w:rPr>
              <w:rFonts w:ascii="Cambria Math" w:hAnsi="Cambria Math" w:cstheme="minorHAnsi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>sin 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</m:oMath>
      </m:oMathPara>
    </w:p>
    <w:p w14:paraId="4AC91B54" w14:textId="77777777" w:rsidR="000238F8" w:rsidRPr="00383EA6" w:rsidRDefault="000238F8" w:rsidP="000238F8">
      <w:pPr>
        <w:jc w:val="center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cos 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  <m:r>
            <w:rPr>
              <w:rFonts w:ascii="Cambria Math" w:hAnsi="Cambria Math" w:cstheme="minorHAnsi"/>
            </w:rPr>
            <m:t>=-</m:t>
          </m:r>
          <m:r>
            <m:rPr>
              <m:sty m:val="p"/>
            </m:rPr>
            <w:rPr>
              <w:rFonts w:ascii="Cambria Math" w:hAnsi="Cambria Math" w:cstheme="minorHAnsi"/>
            </w:rPr>
            <m:t>cos 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</w:rPr>
                <m:t>3</m:t>
              </m:r>
            </m:den>
          </m:f>
          <m:r>
            <w:rPr>
              <w:rFonts w:ascii="Cambria Math" w:hAnsi="Cambria Math" w:cstheme="minorHAnsi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</m:oMath>
      </m:oMathPara>
    </w:p>
    <w:p w14:paraId="202A52FD" w14:textId="77777777" w:rsidR="00383EA6" w:rsidRDefault="00383EA6" w:rsidP="000238F8">
      <w:pPr>
        <w:jc w:val="center"/>
        <w:rPr>
          <w:rFonts w:asciiTheme="minorHAnsi" w:hAnsiTheme="minorHAnsi" w:cstheme="minorHAnsi"/>
        </w:rPr>
      </w:pPr>
    </w:p>
    <w:p w14:paraId="12BE75DA" w14:textId="77777777" w:rsidR="00383EA6" w:rsidRPr="00CA3246" w:rsidRDefault="00383EA6" w:rsidP="00383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reference angles to find the exact value of the expression.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6A1F08" w14:paraId="4BCC0FAB" w14:textId="77777777" w:rsidTr="00BB4E5E">
        <w:trPr>
          <w:trHeight w:val="2880"/>
        </w:trPr>
        <w:tc>
          <w:tcPr>
            <w:tcW w:w="4891" w:type="dxa"/>
          </w:tcPr>
          <w:p w14:paraId="2FBBD9AE" w14:textId="77777777" w:rsidR="006A1F08" w:rsidRPr="006A1F08" w:rsidRDefault="006A1F08" w:rsidP="006A1F08">
            <w:pPr>
              <w:rPr>
                <w:rFonts w:asciiTheme="minorHAnsi" w:hAnsiTheme="minorHAnsi" w:cstheme="minorHAnsi"/>
              </w:rPr>
            </w:pPr>
            <w:r w:rsidRPr="006A1F08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sin </m:t>
              </m:r>
              <m:r>
                <w:rPr>
                  <w:rFonts w:ascii="Cambria Math" w:hAnsi="Cambria Math" w:cstheme="minorHAnsi"/>
                </w:rPr>
                <m:t>315°</m:t>
              </m:r>
            </m:oMath>
          </w:p>
        </w:tc>
        <w:tc>
          <w:tcPr>
            <w:tcW w:w="4891" w:type="dxa"/>
          </w:tcPr>
          <w:p w14:paraId="549AA580" w14:textId="77777777" w:rsidR="006A1F08" w:rsidRDefault="006A1F08" w:rsidP="00023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tan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 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</w:p>
        </w:tc>
      </w:tr>
      <w:tr w:rsidR="006A1F08" w14:paraId="197F6ECD" w14:textId="77777777" w:rsidTr="00BB4E5E">
        <w:trPr>
          <w:trHeight w:val="2880"/>
        </w:trPr>
        <w:tc>
          <w:tcPr>
            <w:tcW w:w="4891" w:type="dxa"/>
          </w:tcPr>
          <w:p w14:paraId="6E81E9BC" w14:textId="77777777" w:rsidR="006A1F08" w:rsidRDefault="006A1F08" w:rsidP="00023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sec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 780°</m:t>
              </m:r>
            </m:oMath>
          </w:p>
        </w:tc>
        <w:tc>
          <w:tcPr>
            <w:tcW w:w="4891" w:type="dxa"/>
          </w:tcPr>
          <w:p w14:paraId="08F0D09B" w14:textId="77777777" w:rsidR="006A1F08" w:rsidRDefault="006A1F08" w:rsidP="00023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cot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 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</w:p>
        </w:tc>
      </w:tr>
      <w:tr w:rsidR="006A1F08" w14:paraId="74FC0FF8" w14:textId="77777777" w:rsidTr="00BB4E5E">
        <w:trPr>
          <w:trHeight w:val="2880"/>
        </w:trPr>
        <w:tc>
          <w:tcPr>
            <w:tcW w:w="4891" w:type="dxa"/>
          </w:tcPr>
          <w:p w14:paraId="48CA738E" w14:textId="77777777" w:rsidR="006A1F08" w:rsidRDefault="006A1F08" w:rsidP="00023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e. </w:t>
            </w:r>
            <w:r w:rsidR="005A553B">
              <w:rPr>
                <w:rFonts w:asciiTheme="minorHAnsi" w:hAnsiTheme="minorHAnsi" w:cstheme="minorHAnsi"/>
              </w:rPr>
              <w:t>cos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 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6</m:t>
                      </m:r>
                    </m:den>
                  </m:f>
                </m:e>
              </m:d>
            </m:oMath>
          </w:p>
        </w:tc>
        <w:tc>
          <w:tcPr>
            <w:tcW w:w="4891" w:type="dxa"/>
          </w:tcPr>
          <w:p w14:paraId="19BFFA8F" w14:textId="77777777" w:rsidR="006A1F08" w:rsidRDefault="005A553B" w:rsidP="00023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csc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 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14π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</w:p>
        </w:tc>
      </w:tr>
    </w:tbl>
    <w:p w14:paraId="04FD9D00" w14:textId="77777777" w:rsidR="000238F8" w:rsidRPr="00CA3246" w:rsidRDefault="000238F8" w:rsidP="000238F8">
      <w:pPr>
        <w:rPr>
          <w:rFonts w:asciiTheme="minorHAnsi" w:hAnsiTheme="minorHAnsi" w:cstheme="minorHAnsi"/>
        </w:rPr>
      </w:pPr>
    </w:p>
    <w:sectPr w:rsidR="000238F8" w:rsidRPr="00CA3246" w:rsidSect="00CA6DED">
      <w:headerReference w:type="default" r:id="rId23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EDF8" w14:textId="77777777" w:rsidR="001967C9" w:rsidRDefault="001967C9">
      <w:r>
        <w:separator/>
      </w:r>
    </w:p>
  </w:endnote>
  <w:endnote w:type="continuationSeparator" w:id="0">
    <w:p w14:paraId="7AF7B8C4" w14:textId="77777777" w:rsidR="001967C9" w:rsidRDefault="0019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1AAF" w14:textId="77777777" w:rsidR="001967C9" w:rsidRDefault="001967C9">
      <w:r>
        <w:separator/>
      </w:r>
    </w:p>
  </w:footnote>
  <w:footnote w:type="continuationSeparator" w:id="0">
    <w:p w14:paraId="0FDB8087" w14:textId="77777777" w:rsidR="001967C9" w:rsidRDefault="0019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91E1" w14:textId="77777777" w:rsidR="0058584D" w:rsidRDefault="0058584D" w:rsidP="00F57BE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0C3D"/>
    <w:rsid w:val="00001DCC"/>
    <w:rsid w:val="00003E70"/>
    <w:rsid w:val="00004E3F"/>
    <w:rsid w:val="0000506B"/>
    <w:rsid w:val="00005306"/>
    <w:rsid w:val="00007571"/>
    <w:rsid w:val="00007691"/>
    <w:rsid w:val="000077F3"/>
    <w:rsid w:val="00007B81"/>
    <w:rsid w:val="00010BD9"/>
    <w:rsid w:val="00012635"/>
    <w:rsid w:val="00013AE8"/>
    <w:rsid w:val="00014E7D"/>
    <w:rsid w:val="00015F98"/>
    <w:rsid w:val="00021767"/>
    <w:rsid w:val="000218E2"/>
    <w:rsid w:val="000238F8"/>
    <w:rsid w:val="00024830"/>
    <w:rsid w:val="00032C6F"/>
    <w:rsid w:val="00035917"/>
    <w:rsid w:val="000359B0"/>
    <w:rsid w:val="00035BBC"/>
    <w:rsid w:val="00037F06"/>
    <w:rsid w:val="00044572"/>
    <w:rsid w:val="00044B02"/>
    <w:rsid w:val="0005106C"/>
    <w:rsid w:val="00053C98"/>
    <w:rsid w:val="0005568C"/>
    <w:rsid w:val="00055C17"/>
    <w:rsid w:val="00055CA6"/>
    <w:rsid w:val="0005626E"/>
    <w:rsid w:val="00057318"/>
    <w:rsid w:val="000573BF"/>
    <w:rsid w:val="00057ACA"/>
    <w:rsid w:val="00061D69"/>
    <w:rsid w:val="00062B23"/>
    <w:rsid w:val="0006385F"/>
    <w:rsid w:val="00063C46"/>
    <w:rsid w:val="00063E1A"/>
    <w:rsid w:val="00067417"/>
    <w:rsid w:val="00070848"/>
    <w:rsid w:val="0007084B"/>
    <w:rsid w:val="00070C4F"/>
    <w:rsid w:val="0007168B"/>
    <w:rsid w:val="00072DA2"/>
    <w:rsid w:val="000739E9"/>
    <w:rsid w:val="00073D67"/>
    <w:rsid w:val="00073DF1"/>
    <w:rsid w:val="000745FD"/>
    <w:rsid w:val="00074969"/>
    <w:rsid w:val="00075D83"/>
    <w:rsid w:val="00080B28"/>
    <w:rsid w:val="00081413"/>
    <w:rsid w:val="000820D8"/>
    <w:rsid w:val="000827F0"/>
    <w:rsid w:val="000840D5"/>
    <w:rsid w:val="000847F3"/>
    <w:rsid w:val="000853E7"/>
    <w:rsid w:val="00085E1A"/>
    <w:rsid w:val="00087838"/>
    <w:rsid w:val="00091AE2"/>
    <w:rsid w:val="00093D09"/>
    <w:rsid w:val="000941B9"/>
    <w:rsid w:val="0009558F"/>
    <w:rsid w:val="000968A2"/>
    <w:rsid w:val="00097166"/>
    <w:rsid w:val="000A2012"/>
    <w:rsid w:val="000A41C9"/>
    <w:rsid w:val="000A5617"/>
    <w:rsid w:val="000A6E95"/>
    <w:rsid w:val="000B1711"/>
    <w:rsid w:val="000B4F9B"/>
    <w:rsid w:val="000C0C64"/>
    <w:rsid w:val="000C2A4C"/>
    <w:rsid w:val="000C5568"/>
    <w:rsid w:val="000C70A7"/>
    <w:rsid w:val="000D0E6C"/>
    <w:rsid w:val="000D227D"/>
    <w:rsid w:val="000D22A7"/>
    <w:rsid w:val="000D3798"/>
    <w:rsid w:val="000D433D"/>
    <w:rsid w:val="000D4BB2"/>
    <w:rsid w:val="000D6687"/>
    <w:rsid w:val="000D66A6"/>
    <w:rsid w:val="000D6990"/>
    <w:rsid w:val="000D6D03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29C"/>
    <w:rsid w:val="0010344D"/>
    <w:rsid w:val="0010368B"/>
    <w:rsid w:val="00103F9B"/>
    <w:rsid w:val="00104AD7"/>
    <w:rsid w:val="00104B4A"/>
    <w:rsid w:val="00106F41"/>
    <w:rsid w:val="0011565D"/>
    <w:rsid w:val="00117956"/>
    <w:rsid w:val="00117A1A"/>
    <w:rsid w:val="00122427"/>
    <w:rsid w:val="0012304F"/>
    <w:rsid w:val="00123523"/>
    <w:rsid w:val="00124A84"/>
    <w:rsid w:val="00124D08"/>
    <w:rsid w:val="0012549A"/>
    <w:rsid w:val="00126A56"/>
    <w:rsid w:val="00134E27"/>
    <w:rsid w:val="001353EA"/>
    <w:rsid w:val="00137600"/>
    <w:rsid w:val="0014056B"/>
    <w:rsid w:val="001407C2"/>
    <w:rsid w:val="00141C54"/>
    <w:rsid w:val="00141D94"/>
    <w:rsid w:val="00142A46"/>
    <w:rsid w:val="00144ABE"/>
    <w:rsid w:val="00147658"/>
    <w:rsid w:val="00153066"/>
    <w:rsid w:val="00153C5E"/>
    <w:rsid w:val="00154C57"/>
    <w:rsid w:val="0015656F"/>
    <w:rsid w:val="001579E5"/>
    <w:rsid w:val="00160228"/>
    <w:rsid w:val="00161812"/>
    <w:rsid w:val="00170508"/>
    <w:rsid w:val="001712A5"/>
    <w:rsid w:val="0017146D"/>
    <w:rsid w:val="00171A53"/>
    <w:rsid w:val="00172B9E"/>
    <w:rsid w:val="00175A36"/>
    <w:rsid w:val="00177523"/>
    <w:rsid w:val="001779B6"/>
    <w:rsid w:val="001800E6"/>
    <w:rsid w:val="0018072D"/>
    <w:rsid w:val="00181E68"/>
    <w:rsid w:val="001852B2"/>
    <w:rsid w:val="001902E2"/>
    <w:rsid w:val="001918A6"/>
    <w:rsid w:val="00192E4E"/>
    <w:rsid w:val="001947F9"/>
    <w:rsid w:val="00194FB1"/>
    <w:rsid w:val="00195493"/>
    <w:rsid w:val="001961DD"/>
    <w:rsid w:val="00196694"/>
    <w:rsid w:val="001967C9"/>
    <w:rsid w:val="00197DE5"/>
    <w:rsid w:val="001A1CB9"/>
    <w:rsid w:val="001A2744"/>
    <w:rsid w:val="001A3A93"/>
    <w:rsid w:val="001A5A3D"/>
    <w:rsid w:val="001A7AA8"/>
    <w:rsid w:val="001A7E28"/>
    <w:rsid w:val="001B0FAE"/>
    <w:rsid w:val="001B3406"/>
    <w:rsid w:val="001B4BB5"/>
    <w:rsid w:val="001B4EB0"/>
    <w:rsid w:val="001B56D1"/>
    <w:rsid w:val="001B64BA"/>
    <w:rsid w:val="001B6A13"/>
    <w:rsid w:val="001B7F09"/>
    <w:rsid w:val="001C0631"/>
    <w:rsid w:val="001C209B"/>
    <w:rsid w:val="001C28B9"/>
    <w:rsid w:val="001C2EF7"/>
    <w:rsid w:val="001C310D"/>
    <w:rsid w:val="001C5A97"/>
    <w:rsid w:val="001D2FC1"/>
    <w:rsid w:val="001D6C7D"/>
    <w:rsid w:val="001D7E68"/>
    <w:rsid w:val="001E040A"/>
    <w:rsid w:val="001E0B1A"/>
    <w:rsid w:val="001E0E36"/>
    <w:rsid w:val="001E1DD3"/>
    <w:rsid w:val="001E4223"/>
    <w:rsid w:val="001E44F3"/>
    <w:rsid w:val="001E483C"/>
    <w:rsid w:val="001E52AB"/>
    <w:rsid w:val="001E582A"/>
    <w:rsid w:val="001E5FEF"/>
    <w:rsid w:val="001E6117"/>
    <w:rsid w:val="001E66FC"/>
    <w:rsid w:val="001E6E25"/>
    <w:rsid w:val="001E756B"/>
    <w:rsid w:val="001F1E2D"/>
    <w:rsid w:val="001F3DFD"/>
    <w:rsid w:val="001F4EE3"/>
    <w:rsid w:val="001F7013"/>
    <w:rsid w:val="00200EF6"/>
    <w:rsid w:val="0020359B"/>
    <w:rsid w:val="002118E2"/>
    <w:rsid w:val="00212FB0"/>
    <w:rsid w:val="00214C26"/>
    <w:rsid w:val="002155DC"/>
    <w:rsid w:val="00215C74"/>
    <w:rsid w:val="00220676"/>
    <w:rsid w:val="00221107"/>
    <w:rsid w:val="00222FA2"/>
    <w:rsid w:val="002275F1"/>
    <w:rsid w:val="0023026D"/>
    <w:rsid w:val="002309A3"/>
    <w:rsid w:val="0023132D"/>
    <w:rsid w:val="00231B76"/>
    <w:rsid w:val="002325EB"/>
    <w:rsid w:val="00240299"/>
    <w:rsid w:val="0024207E"/>
    <w:rsid w:val="00244E21"/>
    <w:rsid w:val="002474A4"/>
    <w:rsid w:val="00250B2C"/>
    <w:rsid w:val="0025161E"/>
    <w:rsid w:val="00251CAA"/>
    <w:rsid w:val="00252519"/>
    <w:rsid w:val="00254AFF"/>
    <w:rsid w:val="00255CA1"/>
    <w:rsid w:val="002566F9"/>
    <w:rsid w:val="00257265"/>
    <w:rsid w:val="0025788D"/>
    <w:rsid w:val="00257C16"/>
    <w:rsid w:val="00260943"/>
    <w:rsid w:val="00262D6C"/>
    <w:rsid w:val="00264542"/>
    <w:rsid w:val="0026502B"/>
    <w:rsid w:val="002678F5"/>
    <w:rsid w:val="00270373"/>
    <w:rsid w:val="00270F81"/>
    <w:rsid w:val="00271016"/>
    <w:rsid w:val="00275322"/>
    <w:rsid w:val="0027656A"/>
    <w:rsid w:val="002767DC"/>
    <w:rsid w:val="00277957"/>
    <w:rsid w:val="002859B4"/>
    <w:rsid w:val="00291BF3"/>
    <w:rsid w:val="00295531"/>
    <w:rsid w:val="00295B82"/>
    <w:rsid w:val="00296A00"/>
    <w:rsid w:val="002A0C18"/>
    <w:rsid w:val="002A0CB7"/>
    <w:rsid w:val="002A25E1"/>
    <w:rsid w:val="002A3777"/>
    <w:rsid w:val="002A3D51"/>
    <w:rsid w:val="002A7A4C"/>
    <w:rsid w:val="002B17F1"/>
    <w:rsid w:val="002B400A"/>
    <w:rsid w:val="002B41E2"/>
    <w:rsid w:val="002B4BA8"/>
    <w:rsid w:val="002B5A18"/>
    <w:rsid w:val="002B775A"/>
    <w:rsid w:val="002C33B9"/>
    <w:rsid w:val="002C3973"/>
    <w:rsid w:val="002C6B12"/>
    <w:rsid w:val="002C73BF"/>
    <w:rsid w:val="002D282A"/>
    <w:rsid w:val="002D2E02"/>
    <w:rsid w:val="002D39BA"/>
    <w:rsid w:val="002D608D"/>
    <w:rsid w:val="002D79CE"/>
    <w:rsid w:val="002E181F"/>
    <w:rsid w:val="002E2C39"/>
    <w:rsid w:val="002E31F0"/>
    <w:rsid w:val="002E4DC5"/>
    <w:rsid w:val="002E7D86"/>
    <w:rsid w:val="002F1C2D"/>
    <w:rsid w:val="002F38F2"/>
    <w:rsid w:val="002F3A2B"/>
    <w:rsid w:val="002F46B4"/>
    <w:rsid w:val="002F7050"/>
    <w:rsid w:val="003005B8"/>
    <w:rsid w:val="0030118F"/>
    <w:rsid w:val="00301A08"/>
    <w:rsid w:val="003036BC"/>
    <w:rsid w:val="00303A50"/>
    <w:rsid w:val="0031162D"/>
    <w:rsid w:val="00312BA1"/>
    <w:rsid w:val="00316381"/>
    <w:rsid w:val="00316B75"/>
    <w:rsid w:val="003172EF"/>
    <w:rsid w:val="00317971"/>
    <w:rsid w:val="00317B9F"/>
    <w:rsid w:val="003206DA"/>
    <w:rsid w:val="00321748"/>
    <w:rsid w:val="00321C53"/>
    <w:rsid w:val="003224A3"/>
    <w:rsid w:val="00322ACB"/>
    <w:rsid w:val="00325D89"/>
    <w:rsid w:val="003319DC"/>
    <w:rsid w:val="00331F74"/>
    <w:rsid w:val="00334D89"/>
    <w:rsid w:val="00336D77"/>
    <w:rsid w:val="003371EF"/>
    <w:rsid w:val="00340FAA"/>
    <w:rsid w:val="00342CA8"/>
    <w:rsid w:val="00343494"/>
    <w:rsid w:val="00343A4B"/>
    <w:rsid w:val="003467B6"/>
    <w:rsid w:val="00347798"/>
    <w:rsid w:val="00347BF9"/>
    <w:rsid w:val="00350747"/>
    <w:rsid w:val="003514FC"/>
    <w:rsid w:val="003528B8"/>
    <w:rsid w:val="00352E83"/>
    <w:rsid w:val="00352F9A"/>
    <w:rsid w:val="003558D8"/>
    <w:rsid w:val="0035692E"/>
    <w:rsid w:val="00356E51"/>
    <w:rsid w:val="00357A88"/>
    <w:rsid w:val="00357C29"/>
    <w:rsid w:val="00360F15"/>
    <w:rsid w:val="00363052"/>
    <w:rsid w:val="00363B0A"/>
    <w:rsid w:val="00364114"/>
    <w:rsid w:val="00365074"/>
    <w:rsid w:val="00365DE9"/>
    <w:rsid w:val="00365F8A"/>
    <w:rsid w:val="003704E0"/>
    <w:rsid w:val="00370DBC"/>
    <w:rsid w:val="00371936"/>
    <w:rsid w:val="00371991"/>
    <w:rsid w:val="00372071"/>
    <w:rsid w:val="00372177"/>
    <w:rsid w:val="003729B1"/>
    <w:rsid w:val="0037385C"/>
    <w:rsid w:val="00373E07"/>
    <w:rsid w:val="00374676"/>
    <w:rsid w:val="00376593"/>
    <w:rsid w:val="003766D8"/>
    <w:rsid w:val="003839DC"/>
    <w:rsid w:val="00383B34"/>
    <w:rsid w:val="00383EA6"/>
    <w:rsid w:val="00385763"/>
    <w:rsid w:val="003870CF"/>
    <w:rsid w:val="00387A57"/>
    <w:rsid w:val="00387BDE"/>
    <w:rsid w:val="00391B3D"/>
    <w:rsid w:val="00392703"/>
    <w:rsid w:val="00393BA8"/>
    <w:rsid w:val="0039409B"/>
    <w:rsid w:val="00396047"/>
    <w:rsid w:val="0039696F"/>
    <w:rsid w:val="003A0D2B"/>
    <w:rsid w:val="003A6D4E"/>
    <w:rsid w:val="003A714A"/>
    <w:rsid w:val="003A7ADC"/>
    <w:rsid w:val="003B0A69"/>
    <w:rsid w:val="003B1747"/>
    <w:rsid w:val="003B2FA2"/>
    <w:rsid w:val="003B480D"/>
    <w:rsid w:val="003B4E68"/>
    <w:rsid w:val="003B54FE"/>
    <w:rsid w:val="003C13FE"/>
    <w:rsid w:val="003C33FF"/>
    <w:rsid w:val="003C724B"/>
    <w:rsid w:val="003D3DAC"/>
    <w:rsid w:val="003D6A59"/>
    <w:rsid w:val="003E1B1F"/>
    <w:rsid w:val="003E1C7D"/>
    <w:rsid w:val="003E1C85"/>
    <w:rsid w:val="003E202B"/>
    <w:rsid w:val="003E32D8"/>
    <w:rsid w:val="003E4D19"/>
    <w:rsid w:val="003E6578"/>
    <w:rsid w:val="003E77E2"/>
    <w:rsid w:val="003F3874"/>
    <w:rsid w:val="003F539A"/>
    <w:rsid w:val="003F5AA5"/>
    <w:rsid w:val="003F69CC"/>
    <w:rsid w:val="003F6CDF"/>
    <w:rsid w:val="004026BC"/>
    <w:rsid w:val="004047B6"/>
    <w:rsid w:val="00404D05"/>
    <w:rsid w:val="004074C3"/>
    <w:rsid w:val="00407AA1"/>
    <w:rsid w:val="004120E6"/>
    <w:rsid w:val="00412D0E"/>
    <w:rsid w:val="00413E02"/>
    <w:rsid w:val="004154E3"/>
    <w:rsid w:val="00420FA3"/>
    <w:rsid w:val="0042206E"/>
    <w:rsid w:val="0042230C"/>
    <w:rsid w:val="004238F5"/>
    <w:rsid w:val="00424CBB"/>
    <w:rsid w:val="00426CDC"/>
    <w:rsid w:val="00430BFA"/>
    <w:rsid w:val="00430DB5"/>
    <w:rsid w:val="004313B6"/>
    <w:rsid w:val="00437371"/>
    <w:rsid w:val="0044414E"/>
    <w:rsid w:val="00447FED"/>
    <w:rsid w:val="00450A69"/>
    <w:rsid w:val="00451003"/>
    <w:rsid w:val="00451DB2"/>
    <w:rsid w:val="00452575"/>
    <w:rsid w:val="0046145B"/>
    <w:rsid w:val="00461867"/>
    <w:rsid w:val="00466811"/>
    <w:rsid w:val="004672AE"/>
    <w:rsid w:val="0047561D"/>
    <w:rsid w:val="00480771"/>
    <w:rsid w:val="00481A28"/>
    <w:rsid w:val="00482EE0"/>
    <w:rsid w:val="00483F89"/>
    <w:rsid w:val="00486606"/>
    <w:rsid w:val="004878F7"/>
    <w:rsid w:val="004A00E2"/>
    <w:rsid w:val="004A05F4"/>
    <w:rsid w:val="004A2B8C"/>
    <w:rsid w:val="004A4A70"/>
    <w:rsid w:val="004A4D75"/>
    <w:rsid w:val="004B0EDD"/>
    <w:rsid w:val="004B1C9D"/>
    <w:rsid w:val="004B2E93"/>
    <w:rsid w:val="004B5CFD"/>
    <w:rsid w:val="004B711B"/>
    <w:rsid w:val="004C24E9"/>
    <w:rsid w:val="004C2D3E"/>
    <w:rsid w:val="004C2D3F"/>
    <w:rsid w:val="004D4B5D"/>
    <w:rsid w:val="004E1294"/>
    <w:rsid w:val="004E12FD"/>
    <w:rsid w:val="004E1EDA"/>
    <w:rsid w:val="004E20FA"/>
    <w:rsid w:val="004E28FB"/>
    <w:rsid w:val="004E296D"/>
    <w:rsid w:val="004E385E"/>
    <w:rsid w:val="004E536F"/>
    <w:rsid w:val="004E6195"/>
    <w:rsid w:val="004E62A0"/>
    <w:rsid w:val="004F7FB6"/>
    <w:rsid w:val="00503315"/>
    <w:rsid w:val="00503605"/>
    <w:rsid w:val="00503BFD"/>
    <w:rsid w:val="00503EE5"/>
    <w:rsid w:val="00504189"/>
    <w:rsid w:val="00505AA2"/>
    <w:rsid w:val="00507578"/>
    <w:rsid w:val="00507D3E"/>
    <w:rsid w:val="00510B7B"/>
    <w:rsid w:val="0051111D"/>
    <w:rsid w:val="005139FB"/>
    <w:rsid w:val="00513ACE"/>
    <w:rsid w:val="005165DB"/>
    <w:rsid w:val="00522D4D"/>
    <w:rsid w:val="0052338D"/>
    <w:rsid w:val="00527709"/>
    <w:rsid w:val="00531D69"/>
    <w:rsid w:val="00532041"/>
    <w:rsid w:val="00532108"/>
    <w:rsid w:val="00532891"/>
    <w:rsid w:val="00532BE8"/>
    <w:rsid w:val="00535236"/>
    <w:rsid w:val="00540D06"/>
    <w:rsid w:val="00540D73"/>
    <w:rsid w:val="005433F8"/>
    <w:rsid w:val="0054586F"/>
    <w:rsid w:val="00545FF7"/>
    <w:rsid w:val="0054603D"/>
    <w:rsid w:val="00550960"/>
    <w:rsid w:val="005525B6"/>
    <w:rsid w:val="00553B66"/>
    <w:rsid w:val="00561773"/>
    <w:rsid w:val="005625ED"/>
    <w:rsid w:val="005643A8"/>
    <w:rsid w:val="00564CB0"/>
    <w:rsid w:val="00565319"/>
    <w:rsid w:val="00571079"/>
    <w:rsid w:val="00573B59"/>
    <w:rsid w:val="00575251"/>
    <w:rsid w:val="00575380"/>
    <w:rsid w:val="00576332"/>
    <w:rsid w:val="005803ED"/>
    <w:rsid w:val="00580512"/>
    <w:rsid w:val="00580BC5"/>
    <w:rsid w:val="00582138"/>
    <w:rsid w:val="00582A36"/>
    <w:rsid w:val="0058584D"/>
    <w:rsid w:val="00586D3F"/>
    <w:rsid w:val="00587EC5"/>
    <w:rsid w:val="00590135"/>
    <w:rsid w:val="00595F71"/>
    <w:rsid w:val="005963D4"/>
    <w:rsid w:val="005A186D"/>
    <w:rsid w:val="005A1A46"/>
    <w:rsid w:val="005A391A"/>
    <w:rsid w:val="005A3CD0"/>
    <w:rsid w:val="005A3D53"/>
    <w:rsid w:val="005A4474"/>
    <w:rsid w:val="005A4A4A"/>
    <w:rsid w:val="005A553B"/>
    <w:rsid w:val="005A5B56"/>
    <w:rsid w:val="005A688D"/>
    <w:rsid w:val="005B0A1E"/>
    <w:rsid w:val="005B27CD"/>
    <w:rsid w:val="005B3482"/>
    <w:rsid w:val="005B41C7"/>
    <w:rsid w:val="005B485B"/>
    <w:rsid w:val="005C11C9"/>
    <w:rsid w:val="005C4137"/>
    <w:rsid w:val="005C4892"/>
    <w:rsid w:val="005C5743"/>
    <w:rsid w:val="005D26DD"/>
    <w:rsid w:val="005D7E83"/>
    <w:rsid w:val="005E114B"/>
    <w:rsid w:val="005E5734"/>
    <w:rsid w:val="005F28F2"/>
    <w:rsid w:val="005F36C0"/>
    <w:rsid w:val="0060152D"/>
    <w:rsid w:val="006046BA"/>
    <w:rsid w:val="0060538F"/>
    <w:rsid w:val="0060621F"/>
    <w:rsid w:val="00606958"/>
    <w:rsid w:val="0060792A"/>
    <w:rsid w:val="00611E7E"/>
    <w:rsid w:val="00613F79"/>
    <w:rsid w:val="006172B9"/>
    <w:rsid w:val="00617DBD"/>
    <w:rsid w:val="00617F0E"/>
    <w:rsid w:val="00621402"/>
    <w:rsid w:val="006219B2"/>
    <w:rsid w:val="00621F83"/>
    <w:rsid w:val="006234E5"/>
    <w:rsid w:val="00626370"/>
    <w:rsid w:val="00633387"/>
    <w:rsid w:val="0063680A"/>
    <w:rsid w:val="00637B14"/>
    <w:rsid w:val="00637BF6"/>
    <w:rsid w:val="006450AD"/>
    <w:rsid w:val="00645E28"/>
    <w:rsid w:val="006517EA"/>
    <w:rsid w:val="00651BCB"/>
    <w:rsid w:val="0066378E"/>
    <w:rsid w:val="00665BA5"/>
    <w:rsid w:val="0066702B"/>
    <w:rsid w:val="006673A6"/>
    <w:rsid w:val="006702BB"/>
    <w:rsid w:val="006710A8"/>
    <w:rsid w:val="006742F5"/>
    <w:rsid w:val="00674ADA"/>
    <w:rsid w:val="0067542A"/>
    <w:rsid w:val="00675E3F"/>
    <w:rsid w:val="00681295"/>
    <w:rsid w:val="006854A2"/>
    <w:rsid w:val="00687597"/>
    <w:rsid w:val="00693698"/>
    <w:rsid w:val="0069383C"/>
    <w:rsid w:val="0069486E"/>
    <w:rsid w:val="006A1F08"/>
    <w:rsid w:val="006A74A3"/>
    <w:rsid w:val="006B34F5"/>
    <w:rsid w:val="006C3343"/>
    <w:rsid w:val="006C40E7"/>
    <w:rsid w:val="006C6E82"/>
    <w:rsid w:val="006D1A1C"/>
    <w:rsid w:val="006D1F05"/>
    <w:rsid w:val="006D1F09"/>
    <w:rsid w:val="006D3718"/>
    <w:rsid w:val="006E2BDD"/>
    <w:rsid w:val="006E43A1"/>
    <w:rsid w:val="006E4D06"/>
    <w:rsid w:val="006E56D7"/>
    <w:rsid w:val="006E5ED0"/>
    <w:rsid w:val="006E6119"/>
    <w:rsid w:val="006E6E50"/>
    <w:rsid w:val="006F13EC"/>
    <w:rsid w:val="006F2399"/>
    <w:rsid w:val="006F3C57"/>
    <w:rsid w:val="006F5882"/>
    <w:rsid w:val="006F65B9"/>
    <w:rsid w:val="007029AD"/>
    <w:rsid w:val="0070321A"/>
    <w:rsid w:val="00703EB0"/>
    <w:rsid w:val="007045FA"/>
    <w:rsid w:val="00705B4C"/>
    <w:rsid w:val="00705D85"/>
    <w:rsid w:val="007065F9"/>
    <w:rsid w:val="0070715C"/>
    <w:rsid w:val="0071144A"/>
    <w:rsid w:val="00714208"/>
    <w:rsid w:val="00714C92"/>
    <w:rsid w:val="00717E92"/>
    <w:rsid w:val="007217C7"/>
    <w:rsid w:val="00724D66"/>
    <w:rsid w:val="0072597B"/>
    <w:rsid w:val="00727506"/>
    <w:rsid w:val="00736183"/>
    <w:rsid w:val="0074024B"/>
    <w:rsid w:val="00740CC9"/>
    <w:rsid w:val="00740DD0"/>
    <w:rsid w:val="007414DF"/>
    <w:rsid w:val="00743603"/>
    <w:rsid w:val="00747709"/>
    <w:rsid w:val="00747D66"/>
    <w:rsid w:val="00753EA1"/>
    <w:rsid w:val="00754E28"/>
    <w:rsid w:val="00755471"/>
    <w:rsid w:val="00756DEC"/>
    <w:rsid w:val="00757184"/>
    <w:rsid w:val="00757896"/>
    <w:rsid w:val="00757C0C"/>
    <w:rsid w:val="00760D46"/>
    <w:rsid w:val="007633AB"/>
    <w:rsid w:val="00767EDD"/>
    <w:rsid w:val="00770A23"/>
    <w:rsid w:val="00770E49"/>
    <w:rsid w:val="007716BF"/>
    <w:rsid w:val="0077321D"/>
    <w:rsid w:val="00776965"/>
    <w:rsid w:val="0078300F"/>
    <w:rsid w:val="007841E8"/>
    <w:rsid w:val="0078472F"/>
    <w:rsid w:val="00790E0B"/>
    <w:rsid w:val="00791A7B"/>
    <w:rsid w:val="00792F03"/>
    <w:rsid w:val="00793501"/>
    <w:rsid w:val="0079483D"/>
    <w:rsid w:val="0079657D"/>
    <w:rsid w:val="007A0545"/>
    <w:rsid w:val="007A110A"/>
    <w:rsid w:val="007A1ADE"/>
    <w:rsid w:val="007A2237"/>
    <w:rsid w:val="007A40D9"/>
    <w:rsid w:val="007A63E1"/>
    <w:rsid w:val="007A71CA"/>
    <w:rsid w:val="007A78A6"/>
    <w:rsid w:val="007A798C"/>
    <w:rsid w:val="007B021E"/>
    <w:rsid w:val="007B056F"/>
    <w:rsid w:val="007B3067"/>
    <w:rsid w:val="007B4625"/>
    <w:rsid w:val="007B7243"/>
    <w:rsid w:val="007B7A6D"/>
    <w:rsid w:val="007C306B"/>
    <w:rsid w:val="007C3AAD"/>
    <w:rsid w:val="007C6E75"/>
    <w:rsid w:val="007C6F49"/>
    <w:rsid w:val="007C7BDF"/>
    <w:rsid w:val="007D0BA9"/>
    <w:rsid w:val="007D486F"/>
    <w:rsid w:val="007D597C"/>
    <w:rsid w:val="007D5B8E"/>
    <w:rsid w:val="007D7CAA"/>
    <w:rsid w:val="007E0787"/>
    <w:rsid w:val="007E327B"/>
    <w:rsid w:val="007E7790"/>
    <w:rsid w:val="007E7B54"/>
    <w:rsid w:val="007F1FB0"/>
    <w:rsid w:val="007F2378"/>
    <w:rsid w:val="007F2E7D"/>
    <w:rsid w:val="007F3922"/>
    <w:rsid w:val="007F44EA"/>
    <w:rsid w:val="007F62E3"/>
    <w:rsid w:val="007F6D94"/>
    <w:rsid w:val="007F70C5"/>
    <w:rsid w:val="00802A0D"/>
    <w:rsid w:val="0080325C"/>
    <w:rsid w:val="00803766"/>
    <w:rsid w:val="00804F1D"/>
    <w:rsid w:val="00811589"/>
    <w:rsid w:val="00812C19"/>
    <w:rsid w:val="008145F4"/>
    <w:rsid w:val="0081651E"/>
    <w:rsid w:val="008176DB"/>
    <w:rsid w:val="008179A7"/>
    <w:rsid w:val="00820FE1"/>
    <w:rsid w:val="0082602F"/>
    <w:rsid w:val="0083009B"/>
    <w:rsid w:val="00832632"/>
    <w:rsid w:val="008340A4"/>
    <w:rsid w:val="008351E8"/>
    <w:rsid w:val="00835681"/>
    <w:rsid w:val="008359D0"/>
    <w:rsid w:val="0083619D"/>
    <w:rsid w:val="00836207"/>
    <w:rsid w:val="00837412"/>
    <w:rsid w:val="0084069C"/>
    <w:rsid w:val="00843254"/>
    <w:rsid w:val="00844008"/>
    <w:rsid w:val="00846189"/>
    <w:rsid w:val="00846AD3"/>
    <w:rsid w:val="00850864"/>
    <w:rsid w:val="00852D4D"/>
    <w:rsid w:val="00853ACE"/>
    <w:rsid w:val="00854186"/>
    <w:rsid w:val="00854E2A"/>
    <w:rsid w:val="00855045"/>
    <w:rsid w:val="00857008"/>
    <w:rsid w:val="0086042A"/>
    <w:rsid w:val="00860618"/>
    <w:rsid w:val="00860E0F"/>
    <w:rsid w:val="0086117C"/>
    <w:rsid w:val="00862533"/>
    <w:rsid w:val="00863A7C"/>
    <w:rsid w:val="00871B78"/>
    <w:rsid w:val="008723F9"/>
    <w:rsid w:val="0087475B"/>
    <w:rsid w:val="008752E8"/>
    <w:rsid w:val="00876B52"/>
    <w:rsid w:val="0087727B"/>
    <w:rsid w:val="0087772F"/>
    <w:rsid w:val="008777C3"/>
    <w:rsid w:val="00877B82"/>
    <w:rsid w:val="00881FF2"/>
    <w:rsid w:val="00884D06"/>
    <w:rsid w:val="00884EC3"/>
    <w:rsid w:val="0088566C"/>
    <w:rsid w:val="00890EC8"/>
    <w:rsid w:val="008926DA"/>
    <w:rsid w:val="00892DB8"/>
    <w:rsid w:val="008934E8"/>
    <w:rsid w:val="00893EE1"/>
    <w:rsid w:val="00895CD9"/>
    <w:rsid w:val="00896BEC"/>
    <w:rsid w:val="0089735F"/>
    <w:rsid w:val="00897980"/>
    <w:rsid w:val="008A2E3F"/>
    <w:rsid w:val="008A2F82"/>
    <w:rsid w:val="008A3230"/>
    <w:rsid w:val="008A4DB9"/>
    <w:rsid w:val="008B12D1"/>
    <w:rsid w:val="008B146B"/>
    <w:rsid w:val="008B158E"/>
    <w:rsid w:val="008B1F48"/>
    <w:rsid w:val="008B3EBF"/>
    <w:rsid w:val="008B587F"/>
    <w:rsid w:val="008B6BFB"/>
    <w:rsid w:val="008B77BC"/>
    <w:rsid w:val="008C0183"/>
    <w:rsid w:val="008C4624"/>
    <w:rsid w:val="008C53EB"/>
    <w:rsid w:val="008C7818"/>
    <w:rsid w:val="008C7D6E"/>
    <w:rsid w:val="008D1402"/>
    <w:rsid w:val="008D1750"/>
    <w:rsid w:val="008D46B1"/>
    <w:rsid w:val="008D4BB5"/>
    <w:rsid w:val="008D5D6D"/>
    <w:rsid w:val="008D7A66"/>
    <w:rsid w:val="008E097F"/>
    <w:rsid w:val="008E26FE"/>
    <w:rsid w:val="008E3944"/>
    <w:rsid w:val="008E4D1B"/>
    <w:rsid w:val="008E649F"/>
    <w:rsid w:val="008E74EF"/>
    <w:rsid w:val="008F497D"/>
    <w:rsid w:val="008F5775"/>
    <w:rsid w:val="0090041A"/>
    <w:rsid w:val="00900C38"/>
    <w:rsid w:val="00901CFC"/>
    <w:rsid w:val="00901EC9"/>
    <w:rsid w:val="00901F72"/>
    <w:rsid w:val="0090249F"/>
    <w:rsid w:val="0090406A"/>
    <w:rsid w:val="0090728B"/>
    <w:rsid w:val="00910483"/>
    <w:rsid w:val="00911541"/>
    <w:rsid w:val="00915513"/>
    <w:rsid w:val="0091568D"/>
    <w:rsid w:val="009201FD"/>
    <w:rsid w:val="00920729"/>
    <w:rsid w:val="00922B38"/>
    <w:rsid w:val="00923092"/>
    <w:rsid w:val="009230A7"/>
    <w:rsid w:val="00931980"/>
    <w:rsid w:val="00931CB3"/>
    <w:rsid w:val="00932CC1"/>
    <w:rsid w:val="009333E8"/>
    <w:rsid w:val="00933FE5"/>
    <w:rsid w:val="00935A54"/>
    <w:rsid w:val="00935B08"/>
    <w:rsid w:val="0093690E"/>
    <w:rsid w:val="0093776B"/>
    <w:rsid w:val="00943038"/>
    <w:rsid w:val="00943EBA"/>
    <w:rsid w:val="00944BDD"/>
    <w:rsid w:val="0094606E"/>
    <w:rsid w:val="0094644D"/>
    <w:rsid w:val="0095152B"/>
    <w:rsid w:val="00952AE3"/>
    <w:rsid w:val="00954285"/>
    <w:rsid w:val="009552C1"/>
    <w:rsid w:val="00956044"/>
    <w:rsid w:val="009568E8"/>
    <w:rsid w:val="00957424"/>
    <w:rsid w:val="00963C9B"/>
    <w:rsid w:val="00964C78"/>
    <w:rsid w:val="0096714B"/>
    <w:rsid w:val="0097474B"/>
    <w:rsid w:val="00974FE3"/>
    <w:rsid w:val="00976039"/>
    <w:rsid w:val="00976098"/>
    <w:rsid w:val="0098066B"/>
    <w:rsid w:val="0098083A"/>
    <w:rsid w:val="00980AFA"/>
    <w:rsid w:val="00981ABD"/>
    <w:rsid w:val="00983216"/>
    <w:rsid w:val="00983AF3"/>
    <w:rsid w:val="00983B29"/>
    <w:rsid w:val="00985CB4"/>
    <w:rsid w:val="00987199"/>
    <w:rsid w:val="00990FD9"/>
    <w:rsid w:val="00992640"/>
    <w:rsid w:val="00993B89"/>
    <w:rsid w:val="009954D0"/>
    <w:rsid w:val="0099575A"/>
    <w:rsid w:val="009A1BD8"/>
    <w:rsid w:val="009A6B2D"/>
    <w:rsid w:val="009A6FA8"/>
    <w:rsid w:val="009A7D53"/>
    <w:rsid w:val="009A7FFE"/>
    <w:rsid w:val="009B0342"/>
    <w:rsid w:val="009B052D"/>
    <w:rsid w:val="009B0C97"/>
    <w:rsid w:val="009B3362"/>
    <w:rsid w:val="009B358A"/>
    <w:rsid w:val="009B7F93"/>
    <w:rsid w:val="009C0B58"/>
    <w:rsid w:val="009C3869"/>
    <w:rsid w:val="009C5167"/>
    <w:rsid w:val="009C54D0"/>
    <w:rsid w:val="009C5DED"/>
    <w:rsid w:val="009C7114"/>
    <w:rsid w:val="009D0CC5"/>
    <w:rsid w:val="009D3F7F"/>
    <w:rsid w:val="009D4B64"/>
    <w:rsid w:val="009D5FE4"/>
    <w:rsid w:val="009D69F7"/>
    <w:rsid w:val="009D792B"/>
    <w:rsid w:val="009E2BB4"/>
    <w:rsid w:val="009E4891"/>
    <w:rsid w:val="009E4ECF"/>
    <w:rsid w:val="009E5255"/>
    <w:rsid w:val="009E5972"/>
    <w:rsid w:val="009F0B09"/>
    <w:rsid w:val="009F1311"/>
    <w:rsid w:val="009F1B2C"/>
    <w:rsid w:val="009F237D"/>
    <w:rsid w:val="009F726A"/>
    <w:rsid w:val="00A0447C"/>
    <w:rsid w:val="00A0512C"/>
    <w:rsid w:val="00A06C98"/>
    <w:rsid w:val="00A0767B"/>
    <w:rsid w:val="00A0784F"/>
    <w:rsid w:val="00A07E62"/>
    <w:rsid w:val="00A106B3"/>
    <w:rsid w:val="00A12103"/>
    <w:rsid w:val="00A14B46"/>
    <w:rsid w:val="00A172D7"/>
    <w:rsid w:val="00A17389"/>
    <w:rsid w:val="00A20C53"/>
    <w:rsid w:val="00A21326"/>
    <w:rsid w:val="00A2247B"/>
    <w:rsid w:val="00A23081"/>
    <w:rsid w:val="00A2406A"/>
    <w:rsid w:val="00A2652B"/>
    <w:rsid w:val="00A30F9F"/>
    <w:rsid w:val="00A31DC5"/>
    <w:rsid w:val="00A34D0E"/>
    <w:rsid w:val="00A35128"/>
    <w:rsid w:val="00A36DBA"/>
    <w:rsid w:val="00A374FF"/>
    <w:rsid w:val="00A40810"/>
    <w:rsid w:val="00A41444"/>
    <w:rsid w:val="00A41B43"/>
    <w:rsid w:val="00A42AA2"/>
    <w:rsid w:val="00A43B5D"/>
    <w:rsid w:val="00A444B2"/>
    <w:rsid w:val="00A458E9"/>
    <w:rsid w:val="00A45982"/>
    <w:rsid w:val="00A464E2"/>
    <w:rsid w:val="00A471BC"/>
    <w:rsid w:val="00A473F7"/>
    <w:rsid w:val="00A47727"/>
    <w:rsid w:val="00A5174F"/>
    <w:rsid w:val="00A525E9"/>
    <w:rsid w:val="00A54EC2"/>
    <w:rsid w:val="00A5754C"/>
    <w:rsid w:val="00A6374D"/>
    <w:rsid w:val="00A64F61"/>
    <w:rsid w:val="00A6634C"/>
    <w:rsid w:val="00A67EE9"/>
    <w:rsid w:val="00A70621"/>
    <w:rsid w:val="00A729B4"/>
    <w:rsid w:val="00A72E2D"/>
    <w:rsid w:val="00A77024"/>
    <w:rsid w:val="00A80A53"/>
    <w:rsid w:val="00A81C47"/>
    <w:rsid w:val="00A820B2"/>
    <w:rsid w:val="00A820E3"/>
    <w:rsid w:val="00A82B02"/>
    <w:rsid w:val="00A85D57"/>
    <w:rsid w:val="00A900AE"/>
    <w:rsid w:val="00A90C2B"/>
    <w:rsid w:val="00AA0ABB"/>
    <w:rsid w:val="00AA1C1C"/>
    <w:rsid w:val="00AA519C"/>
    <w:rsid w:val="00AA54E8"/>
    <w:rsid w:val="00AB02F8"/>
    <w:rsid w:val="00AB1A9D"/>
    <w:rsid w:val="00AB2896"/>
    <w:rsid w:val="00AB70C9"/>
    <w:rsid w:val="00AB74FD"/>
    <w:rsid w:val="00AB76C3"/>
    <w:rsid w:val="00AC1B0A"/>
    <w:rsid w:val="00AD59E1"/>
    <w:rsid w:val="00AD7042"/>
    <w:rsid w:val="00AE3602"/>
    <w:rsid w:val="00AE3A0A"/>
    <w:rsid w:val="00AE69CE"/>
    <w:rsid w:val="00AE7E33"/>
    <w:rsid w:val="00AF08DC"/>
    <w:rsid w:val="00AF2EBE"/>
    <w:rsid w:val="00AF3D08"/>
    <w:rsid w:val="00AF4C8F"/>
    <w:rsid w:val="00AF6C35"/>
    <w:rsid w:val="00AF738F"/>
    <w:rsid w:val="00B02ECA"/>
    <w:rsid w:val="00B050B2"/>
    <w:rsid w:val="00B07CFF"/>
    <w:rsid w:val="00B12D44"/>
    <w:rsid w:val="00B15923"/>
    <w:rsid w:val="00B219B6"/>
    <w:rsid w:val="00B22B01"/>
    <w:rsid w:val="00B22B40"/>
    <w:rsid w:val="00B23A85"/>
    <w:rsid w:val="00B2497F"/>
    <w:rsid w:val="00B26834"/>
    <w:rsid w:val="00B27BFF"/>
    <w:rsid w:val="00B30959"/>
    <w:rsid w:val="00B30BDC"/>
    <w:rsid w:val="00B3363E"/>
    <w:rsid w:val="00B34C6E"/>
    <w:rsid w:val="00B35A09"/>
    <w:rsid w:val="00B4116E"/>
    <w:rsid w:val="00B42C12"/>
    <w:rsid w:val="00B43B53"/>
    <w:rsid w:val="00B44B25"/>
    <w:rsid w:val="00B47DBF"/>
    <w:rsid w:val="00B51612"/>
    <w:rsid w:val="00B5182F"/>
    <w:rsid w:val="00B5256F"/>
    <w:rsid w:val="00B529A3"/>
    <w:rsid w:val="00B53863"/>
    <w:rsid w:val="00B576C4"/>
    <w:rsid w:val="00B57AC1"/>
    <w:rsid w:val="00B6228D"/>
    <w:rsid w:val="00B74101"/>
    <w:rsid w:val="00B74FD6"/>
    <w:rsid w:val="00B757A6"/>
    <w:rsid w:val="00B825E9"/>
    <w:rsid w:val="00B82CA9"/>
    <w:rsid w:val="00B84C27"/>
    <w:rsid w:val="00B84E25"/>
    <w:rsid w:val="00B85D6F"/>
    <w:rsid w:val="00B864FE"/>
    <w:rsid w:val="00B871C5"/>
    <w:rsid w:val="00B8740B"/>
    <w:rsid w:val="00B91DAA"/>
    <w:rsid w:val="00B92F2D"/>
    <w:rsid w:val="00B935C1"/>
    <w:rsid w:val="00B9409C"/>
    <w:rsid w:val="00B94321"/>
    <w:rsid w:val="00B946AA"/>
    <w:rsid w:val="00B95B01"/>
    <w:rsid w:val="00B96571"/>
    <w:rsid w:val="00BA3970"/>
    <w:rsid w:val="00BA5225"/>
    <w:rsid w:val="00BA5900"/>
    <w:rsid w:val="00BA6CF8"/>
    <w:rsid w:val="00BA7DE3"/>
    <w:rsid w:val="00BA7DF7"/>
    <w:rsid w:val="00BB0989"/>
    <w:rsid w:val="00BB0FB8"/>
    <w:rsid w:val="00BB4450"/>
    <w:rsid w:val="00BB4E5E"/>
    <w:rsid w:val="00BB5C7F"/>
    <w:rsid w:val="00BB7B67"/>
    <w:rsid w:val="00BC0BBE"/>
    <w:rsid w:val="00BC0D6F"/>
    <w:rsid w:val="00BC51A3"/>
    <w:rsid w:val="00BC52E5"/>
    <w:rsid w:val="00BC5435"/>
    <w:rsid w:val="00BD1E1E"/>
    <w:rsid w:val="00BD492D"/>
    <w:rsid w:val="00BD4DAD"/>
    <w:rsid w:val="00BD50E2"/>
    <w:rsid w:val="00BD7397"/>
    <w:rsid w:val="00BE1128"/>
    <w:rsid w:val="00BE1B06"/>
    <w:rsid w:val="00BE2844"/>
    <w:rsid w:val="00BE2F2B"/>
    <w:rsid w:val="00BE45D1"/>
    <w:rsid w:val="00BF0040"/>
    <w:rsid w:val="00BF10AC"/>
    <w:rsid w:val="00BF3B0F"/>
    <w:rsid w:val="00BF48C0"/>
    <w:rsid w:val="00BF736A"/>
    <w:rsid w:val="00C00D10"/>
    <w:rsid w:val="00C05A54"/>
    <w:rsid w:val="00C06B70"/>
    <w:rsid w:val="00C06C5B"/>
    <w:rsid w:val="00C07AEB"/>
    <w:rsid w:val="00C118B3"/>
    <w:rsid w:val="00C11CE6"/>
    <w:rsid w:val="00C12214"/>
    <w:rsid w:val="00C12EA6"/>
    <w:rsid w:val="00C15776"/>
    <w:rsid w:val="00C1736B"/>
    <w:rsid w:val="00C17D47"/>
    <w:rsid w:val="00C20EDD"/>
    <w:rsid w:val="00C21A73"/>
    <w:rsid w:val="00C22586"/>
    <w:rsid w:val="00C24D2A"/>
    <w:rsid w:val="00C27924"/>
    <w:rsid w:val="00C30107"/>
    <w:rsid w:val="00C31DBE"/>
    <w:rsid w:val="00C32926"/>
    <w:rsid w:val="00C32E4D"/>
    <w:rsid w:val="00C3411B"/>
    <w:rsid w:val="00C35AD6"/>
    <w:rsid w:val="00C36A19"/>
    <w:rsid w:val="00C404FB"/>
    <w:rsid w:val="00C40ADB"/>
    <w:rsid w:val="00C41C80"/>
    <w:rsid w:val="00C44CEF"/>
    <w:rsid w:val="00C45002"/>
    <w:rsid w:val="00C46A75"/>
    <w:rsid w:val="00C5046C"/>
    <w:rsid w:val="00C53FA2"/>
    <w:rsid w:val="00C5414E"/>
    <w:rsid w:val="00C55213"/>
    <w:rsid w:val="00C55249"/>
    <w:rsid w:val="00C55F85"/>
    <w:rsid w:val="00C57691"/>
    <w:rsid w:val="00C61799"/>
    <w:rsid w:val="00C66B51"/>
    <w:rsid w:val="00C67707"/>
    <w:rsid w:val="00C67F92"/>
    <w:rsid w:val="00C712E1"/>
    <w:rsid w:val="00C7642B"/>
    <w:rsid w:val="00C81B62"/>
    <w:rsid w:val="00C82BF2"/>
    <w:rsid w:val="00C875D7"/>
    <w:rsid w:val="00C90CD1"/>
    <w:rsid w:val="00C91210"/>
    <w:rsid w:val="00C92F1D"/>
    <w:rsid w:val="00C93923"/>
    <w:rsid w:val="00C94DD6"/>
    <w:rsid w:val="00C94F1F"/>
    <w:rsid w:val="00C96023"/>
    <w:rsid w:val="00CA09D1"/>
    <w:rsid w:val="00CA0A94"/>
    <w:rsid w:val="00CA22BC"/>
    <w:rsid w:val="00CA2A47"/>
    <w:rsid w:val="00CA2ACE"/>
    <w:rsid w:val="00CA3246"/>
    <w:rsid w:val="00CA3517"/>
    <w:rsid w:val="00CA4952"/>
    <w:rsid w:val="00CA568A"/>
    <w:rsid w:val="00CA5A57"/>
    <w:rsid w:val="00CA69DA"/>
    <w:rsid w:val="00CA6DED"/>
    <w:rsid w:val="00CB0080"/>
    <w:rsid w:val="00CB519F"/>
    <w:rsid w:val="00CB6663"/>
    <w:rsid w:val="00CB6EEF"/>
    <w:rsid w:val="00CC0475"/>
    <w:rsid w:val="00CC2B2A"/>
    <w:rsid w:val="00CC4F0C"/>
    <w:rsid w:val="00CC6E6B"/>
    <w:rsid w:val="00CD23B1"/>
    <w:rsid w:val="00CD4646"/>
    <w:rsid w:val="00CD5189"/>
    <w:rsid w:val="00CD5C50"/>
    <w:rsid w:val="00CD7860"/>
    <w:rsid w:val="00CE018C"/>
    <w:rsid w:val="00CE12A1"/>
    <w:rsid w:val="00CE2851"/>
    <w:rsid w:val="00CE405A"/>
    <w:rsid w:val="00CE49A7"/>
    <w:rsid w:val="00CF1A33"/>
    <w:rsid w:val="00CF1DE4"/>
    <w:rsid w:val="00CF4E51"/>
    <w:rsid w:val="00CF5C94"/>
    <w:rsid w:val="00D017A8"/>
    <w:rsid w:val="00D02357"/>
    <w:rsid w:val="00D033D2"/>
    <w:rsid w:val="00D03C88"/>
    <w:rsid w:val="00D04403"/>
    <w:rsid w:val="00D04DE8"/>
    <w:rsid w:val="00D05EAF"/>
    <w:rsid w:val="00D07150"/>
    <w:rsid w:val="00D10B87"/>
    <w:rsid w:val="00D14C89"/>
    <w:rsid w:val="00D157A9"/>
    <w:rsid w:val="00D15866"/>
    <w:rsid w:val="00D15B65"/>
    <w:rsid w:val="00D17165"/>
    <w:rsid w:val="00D2072C"/>
    <w:rsid w:val="00D243F3"/>
    <w:rsid w:val="00D2682A"/>
    <w:rsid w:val="00D2768C"/>
    <w:rsid w:val="00D30518"/>
    <w:rsid w:val="00D351DA"/>
    <w:rsid w:val="00D36D56"/>
    <w:rsid w:val="00D40624"/>
    <w:rsid w:val="00D40CB5"/>
    <w:rsid w:val="00D437AB"/>
    <w:rsid w:val="00D44FA5"/>
    <w:rsid w:val="00D4671D"/>
    <w:rsid w:val="00D5079A"/>
    <w:rsid w:val="00D51CB6"/>
    <w:rsid w:val="00D51FA0"/>
    <w:rsid w:val="00D52DCC"/>
    <w:rsid w:val="00D535D3"/>
    <w:rsid w:val="00D538A9"/>
    <w:rsid w:val="00D53A2F"/>
    <w:rsid w:val="00D5461C"/>
    <w:rsid w:val="00D54735"/>
    <w:rsid w:val="00D54A2B"/>
    <w:rsid w:val="00D54AB7"/>
    <w:rsid w:val="00D55750"/>
    <w:rsid w:val="00D558B2"/>
    <w:rsid w:val="00D55A44"/>
    <w:rsid w:val="00D56E2D"/>
    <w:rsid w:val="00D56F5B"/>
    <w:rsid w:val="00D624C5"/>
    <w:rsid w:val="00D628C7"/>
    <w:rsid w:val="00D6590D"/>
    <w:rsid w:val="00D717D3"/>
    <w:rsid w:val="00D74B3E"/>
    <w:rsid w:val="00D75450"/>
    <w:rsid w:val="00D765A0"/>
    <w:rsid w:val="00D836F3"/>
    <w:rsid w:val="00D87A75"/>
    <w:rsid w:val="00D92374"/>
    <w:rsid w:val="00D92F2B"/>
    <w:rsid w:val="00D9381E"/>
    <w:rsid w:val="00D93C12"/>
    <w:rsid w:val="00D96F65"/>
    <w:rsid w:val="00DA0E45"/>
    <w:rsid w:val="00DA1654"/>
    <w:rsid w:val="00DA5AC2"/>
    <w:rsid w:val="00DB0462"/>
    <w:rsid w:val="00DB5C3B"/>
    <w:rsid w:val="00DC0AC5"/>
    <w:rsid w:val="00DC0D9C"/>
    <w:rsid w:val="00DC27F1"/>
    <w:rsid w:val="00DC473A"/>
    <w:rsid w:val="00DC65A5"/>
    <w:rsid w:val="00DD0921"/>
    <w:rsid w:val="00DD1723"/>
    <w:rsid w:val="00DD387D"/>
    <w:rsid w:val="00DE2AD9"/>
    <w:rsid w:val="00DE3A38"/>
    <w:rsid w:val="00DE5F4F"/>
    <w:rsid w:val="00DF1463"/>
    <w:rsid w:val="00DF65A7"/>
    <w:rsid w:val="00DF7117"/>
    <w:rsid w:val="00E00116"/>
    <w:rsid w:val="00E0015C"/>
    <w:rsid w:val="00E02E18"/>
    <w:rsid w:val="00E03C65"/>
    <w:rsid w:val="00E03FBF"/>
    <w:rsid w:val="00E058DA"/>
    <w:rsid w:val="00E05E4D"/>
    <w:rsid w:val="00E061B8"/>
    <w:rsid w:val="00E07872"/>
    <w:rsid w:val="00E1058C"/>
    <w:rsid w:val="00E108AE"/>
    <w:rsid w:val="00E10CC9"/>
    <w:rsid w:val="00E118BF"/>
    <w:rsid w:val="00E11DE1"/>
    <w:rsid w:val="00E2141A"/>
    <w:rsid w:val="00E23CBA"/>
    <w:rsid w:val="00E245B6"/>
    <w:rsid w:val="00E24D5D"/>
    <w:rsid w:val="00E24DA5"/>
    <w:rsid w:val="00E25100"/>
    <w:rsid w:val="00E31189"/>
    <w:rsid w:val="00E32A2F"/>
    <w:rsid w:val="00E35960"/>
    <w:rsid w:val="00E36E4F"/>
    <w:rsid w:val="00E374C5"/>
    <w:rsid w:val="00E425CD"/>
    <w:rsid w:val="00E43128"/>
    <w:rsid w:val="00E4441E"/>
    <w:rsid w:val="00E45F15"/>
    <w:rsid w:val="00E46010"/>
    <w:rsid w:val="00E5227B"/>
    <w:rsid w:val="00E527FF"/>
    <w:rsid w:val="00E53703"/>
    <w:rsid w:val="00E57A1D"/>
    <w:rsid w:val="00E604F5"/>
    <w:rsid w:val="00E620B4"/>
    <w:rsid w:val="00E72723"/>
    <w:rsid w:val="00E73074"/>
    <w:rsid w:val="00E73620"/>
    <w:rsid w:val="00E73E62"/>
    <w:rsid w:val="00E74213"/>
    <w:rsid w:val="00E74243"/>
    <w:rsid w:val="00E74CE6"/>
    <w:rsid w:val="00E775FD"/>
    <w:rsid w:val="00E77697"/>
    <w:rsid w:val="00E804D7"/>
    <w:rsid w:val="00E8242C"/>
    <w:rsid w:val="00E831A9"/>
    <w:rsid w:val="00E8349A"/>
    <w:rsid w:val="00E83B18"/>
    <w:rsid w:val="00E83C28"/>
    <w:rsid w:val="00E849D6"/>
    <w:rsid w:val="00E84AA3"/>
    <w:rsid w:val="00E863F3"/>
    <w:rsid w:val="00E8643E"/>
    <w:rsid w:val="00E86993"/>
    <w:rsid w:val="00E8721F"/>
    <w:rsid w:val="00E90677"/>
    <w:rsid w:val="00E906B3"/>
    <w:rsid w:val="00E9379B"/>
    <w:rsid w:val="00E93DD6"/>
    <w:rsid w:val="00E9445A"/>
    <w:rsid w:val="00E944E6"/>
    <w:rsid w:val="00E9455B"/>
    <w:rsid w:val="00E96731"/>
    <w:rsid w:val="00E97FA6"/>
    <w:rsid w:val="00EA1BCB"/>
    <w:rsid w:val="00EA2E96"/>
    <w:rsid w:val="00EA34E4"/>
    <w:rsid w:val="00EA4240"/>
    <w:rsid w:val="00EA6E92"/>
    <w:rsid w:val="00EB02AE"/>
    <w:rsid w:val="00EB2B4D"/>
    <w:rsid w:val="00EB4D6D"/>
    <w:rsid w:val="00EB6628"/>
    <w:rsid w:val="00EB6CB5"/>
    <w:rsid w:val="00EC3DCF"/>
    <w:rsid w:val="00EC3F8B"/>
    <w:rsid w:val="00ED0103"/>
    <w:rsid w:val="00ED2067"/>
    <w:rsid w:val="00ED3F1F"/>
    <w:rsid w:val="00ED4ECB"/>
    <w:rsid w:val="00ED4FD0"/>
    <w:rsid w:val="00ED557B"/>
    <w:rsid w:val="00EE0084"/>
    <w:rsid w:val="00EE2A79"/>
    <w:rsid w:val="00EE354E"/>
    <w:rsid w:val="00EE3E7B"/>
    <w:rsid w:val="00EE5B56"/>
    <w:rsid w:val="00EE6097"/>
    <w:rsid w:val="00EE7003"/>
    <w:rsid w:val="00EE7071"/>
    <w:rsid w:val="00EE72D0"/>
    <w:rsid w:val="00EF0082"/>
    <w:rsid w:val="00EF3964"/>
    <w:rsid w:val="00EF3DE3"/>
    <w:rsid w:val="00EF632C"/>
    <w:rsid w:val="00EF6439"/>
    <w:rsid w:val="00EF7A33"/>
    <w:rsid w:val="00F00147"/>
    <w:rsid w:val="00F019A6"/>
    <w:rsid w:val="00F01A09"/>
    <w:rsid w:val="00F02971"/>
    <w:rsid w:val="00F069A6"/>
    <w:rsid w:val="00F10142"/>
    <w:rsid w:val="00F11AE6"/>
    <w:rsid w:val="00F13436"/>
    <w:rsid w:val="00F14189"/>
    <w:rsid w:val="00F1436F"/>
    <w:rsid w:val="00F156FE"/>
    <w:rsid w:val="00F1745B"/>
    <w:rsid w:val="00F21397"/>
    <w:rsid w:val="00F21664"/>
    <w:rsid w:val="00F22AB0"/>
    <w:rsid w:val="00F22AB8"/>
    <w:rsid w:val="00F25D22"/>
    <w:rsid w:val="00F26326"/>
    <w:rsid w:val="00F272B4"/>
    <w:rsid w:val="00F27895"/>
    <w:rsid w:val="00F27B10"/>
    <w:rsid w:val="00F27C69"/>
    <w:rsid w:val="00F30219"/>
    <w:rsid w:val="00F31722"/>
    <w:rsid w:val="00F31CD8"/>
    <w:rsid w:val="00F35B0F"/>
    <w:rsid w:val="00F366CD"/>
    <w:rsid w:val="00F37822"/>
    <w:rsid w:val="00F41D10"/>
    <w:rsid w:val="00F4595E"/>
    <w:rsid w:val="00F46648"/>
    <w:rsid w:val="00F47442"/>
    <w:rsid w:val="00F5509B"/>
    <w:rsid w:val="00F57606"/>
    <w:rsid w:val="00F57A20"/>
    <w:rsid w:val="00F57BEB"/>
    <w:rsid w:val="00F6008A"/>
    <w:rsid w:val="00F607BD"/>
    <w:rsid w:val="00F61CE3"/>
    <w:rsid w:val="00F62EC4"/>
    <w:rsid w:val="00F6350C"/>
    <w:rsid w:val="00F721E4"/>
    <w:rsid w:val="00F72770"/>
    <w:rsid w:val="00F73CC1"/>
    <w:rsid w:val="00F75AE4"/>
    <w:rsid w:val="00F772D9"/>
    <w:rsid w:val="00F824C5"/>
    <w:rsid w:val="00F8314E"/>
    <w:rsid w:val="00F864F9"/>
    <w:rsid w:val="00F903D5"/>
    <w:rsid w:val="00F91017"/>
    <w:rsid w:val="00F93A7B"/>
    <w:rsid w:val="00F94789"/>
    <w:rsid w:val="00F9739A"/>
    <w:rsid w:val="00FA5DDA"/>
    <w:rsid w:val="00FA74D2"/>
    <w:rsid w:val="00FA7A12"/>
    <w:rsid w:val="00FB268E"/>
    <w:rsid w:val="00FB31C6"/>
    <w:rsid w:val="00FB5DDC"/>
    <w:rsid w:val="00FB72C3"/>
    <w:rsid w:val="00FB7BD3"/>
    <w:rsid w:val="00FC09F0"/>
    <w:rsid w:val="00FC4018"/>
    <w:rsid w:val="00FC6075"/>
    <w:rsid w:val="00FC62E9"/>
    <w:rsid w:val="00FD00D5"/>
    <w:rsid w:val="00FD0DC6"/>
    <w:rsid w:val="00FD2FB4"/>
    <w:rsid w:val="00FD3666"/>
    <w:rsid w:val="00FD454E"/>
    <w:rsid w:val="00FD4CD2"/>
    <w:rsid w:val="00FD77BE"/>
    <w:rsid w:val="00FE12B0"/>
    <w:rsid w:val="00FE2559"/>
    <w:rsid w:val="00FE2B4E"/>
    <w:rsid w:val="00FE3EBD"/>
    <w:rsid w:val="00FF053C"/>
    <w:rsid w:val="00FF2692"/>
    <w:rsid w:val="00FF462D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5D61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43EBA"/>
    <w:rPr>
      <w:rFonts w:ascii="Calibri" w:hAnsi="Calibri" w:cs="Calibri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sidebar-body">
    <w:name w:val="sidebar-body"/>
    <w:basedOn w:val="Normal"/>
    <w:qFormat/>
    <w:rsid w:val="0014056B"/>
    <w:pPr>
      <w:spacing w:after="140" w:line="259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22"/>
    </w:rPr>
  </w:style>
  <w:style w:type="paragraph" w:customStyle="1" w:styleId="NormalText">
    <w:name w:val="Normal Text"/>
    <w:rsid w:val="008E26FE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tm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2E28-3A0A-4B14-9B39-73F392F8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4</cp:revision>
  <cp:lastPrinted>2021-01-17T21:56:00Z</cp:lastPrinted>
  <dcterms:created xsi:type="dcterms:W3CDTF">2021-04-14T21:27:00Z</dcterms:created>
  <dcterms:modified xsi:type="dcterms:W3CDTF">2021-05-25T21:50:00Z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